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w15="http://schemas.microsoft.com/office/word/2012/wordml" mc:Ignorable="w14 w15 wp14">
  <!-- Generated by Spire.Doc -->
  <w:body>
    <w:p>
      <w:pPr>
        <w:snapToGrid w:val="0"/>
        <w:rPr>
          <w:rFonts w:ascii="微软雅黑" w:eastAsia="微软雅黑" w:hAnsi="微软雅黑" w:hint="eastAsia"/>
          <w:sz w:val="20"/>
          <w:szCs w:val="20"/>
        </w:rPr>
      </w:pPr>
      <w:bookmarkStart w:id="0" w:name="_Hlk91793999"/>
      <w:bookmarkEnd w:id="0"/>
    </w:p>
    <w:p>
      <w:pPr>
        <w:snapToGrid w:val="0"/>
        <w:jc w:val="center"/>
        <w:rPr>
          <w:rFonts w:ascii="微软雅黑" w:eastAsia="微软雅黑" w:hAnsi="微软雅黑" w:cs="Times New Roman" w:hint="eastAsia"/>
          <w:color w:val="404040" w:themeColor="text1" w:themeTint="BF"/>
          <w:sz w:val="44"/>
          <w:szCs w:val="44"/>
        </w:rPr>
      </w:pPr>
      <w:r>
        <w:rPr>
          <w:rFonts w:ascii="微软雅黑" w:eastAsia="微软雅黑" w:hAnsi="微软雅黑" w:cs="Times New Roman" w:hint="eastAsia"/>
          <w:color w:val="404040" w:themeColor="text1" w:themeTint="BF"/>
          <w:sz w:val="44"/>
          <w:szCs w:val="44"/>
        </w:rPr>
        <w:t xml:space="preserve">双赢谈判实战共创工作坊</w:t>
      </w:r>
      <w:r w:rsidR="00000000">
        <w:rPr>
          <w:rFonts w:ascii="微软雅黑" w:eastAsia="微软雅黑" w:hAnsi="微软雅黑" w:cs="Times New Roman" w:hint="eastAsia"/>
          <w:color w:val="404040" w:themeColor="text1" w:themeTint="BF"/>
          <w:sz w:val="44"/>
          <w:szCs w:val="44"/>
        </w:rPr>
        <w:tab/>
      </w:r>
    </w:p>
    <w:p>
      <w:pPr>
        <w:snapToGrid w:val="0"/>
        <w:jc w:val="center"/>
        <w:rPr>
          <w:rFonts w:ascii="Arial" w:hAnsi="Arial" w:cs="Arial"/>
          <w:color w:val="D6D6D6"/>
          <w:sz w:val="24"/>
          <w:szCs w:val="24"/>
        </w:rPr>
      </w:pPr>
      <w:r>
        <w:rPr>
          <w:rFonts w:ascii="Arial" w:hAnsi="Arial" w:cs="Arial" w:hint="eastAsia"/>
          <w:color w:val="D6D6D6"/>
          <w:sz w:val="24"/>
          <w:szCs w:val="24"/>
        </w:rPr>
        <w:t xml:space="preserve">Win-Win Negotiation Practical Co-Creation Workshop</w:t>
      </w:r>
    </w:p>
    <w:p>
      <w:pPr>
        <w:snapToGrid w:val="0"/>
        <w:rPr>
          <w:rFonts w:ascii="微软雅黑" w:eastAsia="微软雅黑" w:hAnsi="微软雅黑" w:hint="eastAsia"/>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34"/>
        <w:gridCol w:w="2434"/>
        <w:gridCol w:w="2434"/>
        <w:gridCol w:w="2434"/>
      </w:tblGrid>
      <w:tr w:rsidTr="00032DE5">
        <w:trPr>
          <w:trHeight w:val="538"/>
        </w:trPr>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Pr>
                <w:rFonts w:ascii="微软雅黑" w:eastAsia="微软雅黑" w:hAnsi="微软雅黑" w:cs="宋体" w:hint="eastAsia"/>
                <w:b/>
                <w:bCs/>
                <w:color w:val="FFFFFF" w:themeColor="background1"/>
                <w:kern w:val="0"/>
                <w:sz w:val="24"/>
                <w:szCs w:val="24"/>
              </w:rPr>
              <w:t xml:space="preserve">日期</w:t>
            </w:r>
            <w:r w:rsidRPr="00032DE5">
              <w:rPr>
                <w:rFonts w:ascii="微软雅黑" w:eastAsia="微软雅黑" w:hAnsi="微软雅黑" w:cs="宋体"/>
                <w:b/>
                <w:bCs/>
                <w:color w:val="FFFFFF" w:themeColor="background1"/>
                <w:kern w:val="0"/>
                <w:sz w:val="24"/>
                <w:szCs w:val="24"/>
              </w:rPr>
              <w:t xml:space="preserve">/</w:t>
            </w:r>
            <w:r>
              <w:rPr>
                <w:rFonts w:ascii="微软雅黑" w:eastAsia="微软雅黑" w:hAnsi="微软雅黑" w:cs="宋体" w:hint="eastAsia"/>
                <w:b/>
                <w:bCs/>
                <w:color w:val="FFFFFF" w:themeColor="background1"/>
                <w:kern w:val="0"/>
                <w:sz w:val="24"/>
                <w:szCs w:val="24"/>
              </w:rPr>
              <w:t xml:space="preserve">Date</w:t>
            </w:r>
          </w:p>
        </w:tc>
        <w:tc>
          <w:tcPr>
            <w:tcW w:w="7302" w:type="dxa"/>
            <w:gridSpan w:val="3"/>
            <w:vAlign w:val="center"/>
          </w:tcPr>
          <w:p>
            <w:pPr>
              <w:snapToGrid w:val="0"/>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2027年01月15日-16日  北京</w:t>
            </w:r>
          </w:p>
        </w:tc>
      </w:tr>
      <w:tr w:rsidTr="00032DE5">
        <w:trPr>
          <w:trHeight w:val="561"/>
        </w:trPr>
        <w:tc>
          <w:tcPr>
            <w:tcW w:w="2434" w:type="dxa"/>
            <w:shd w:val="clear" w:color="auto" w:fill="2E74B5"/>
            <w:vAlign w:val="center"/>
          </w:tcPr>
          <w:p>
            <w:pPr>
              <w:snapToGrid w:val="0"/>
              <w:ind w:left="210" w:leftChars="100"/>
              <w:jc w:val="left"/>
              <w:rPr>
                <w:rFonts w:ascii="微软雅黑" w:eastAsia="微软雅黑" w:hAnsi="微软雅黑" w:hint="eastAsia"/>
                <w:sz w:val="20"/>
                <w:szCs w:val="20"/>
              </w:rPr>
            </w:pPr>
            <w:r w:rsidRPr="00032DE5">
              <w:rPr>
                <w:rFonts w:ascii="微软雅黑" w:eastAsia="微软雅黑" w:hAnsi="微软雅黑" w:cs="宋体" w:hint="eastAsia"/>
                <w:b/>
                <w:bCs/>
                <w:color w:val="FFFFFF" w:themeColor="background1"/>
                <w:kern w:val="0"/>
                <w:sz w:val="24"/>
                <w:szCs w:val="24"/>
              </w:rPr>
              <w:t xml:space="preserve">讲师</w:t>
            </w:r>
            <w:r w:rsidRPr="00032DE5">
              <w:rPr>
                <w:rFonts w:ascii="微软雅黑" w:eastAsia="微软雅黑" w:hAnsi="微软雅黑" w:cs="宋体"/>
                <w:b/>
                <w:bCs/>
                <w:color w:val="FFFFFF" w:themeColor="background1"/>
                <w:kern w:val="0"/>
                <w:sz w:val="24"/>
                <w:szCs w:val="24"/>
              </w:rPr>
              <w:t xml:space="preserve">/Lecturer</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牟老师</w:t>
            </w:r>
          </w:p>
        </w:tc>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sidRPr="00032DE5">
              <w:rPr>
                <w:rFonts w:ascii="微软雅黑" w:eastAsia="微软雅黑" w:hAnsi="微软雅黑" w:cs="宋体" w:hint="eastAsia"/>
                <w:b/>
                <w:bCs/>
                <w:color w:val="FFFFFF" w:themeColor="background1"/>
                <w:kern w:val="0"/>
                <w:sz w:val="24"/>
                <w:szCs w:val="24"/>
              </w:rPr>
              <w:t xml:space="preserve">费用</w:t>
            </w:r>
            <w:r w:rsidRPr="00032DE5">
              <w:rPr>
                <w:rFonts w:ascii="微软雅黑" w:eastAsia="微软雅黑" w:hAnsi="微软雅黑" w:cs="宋体"/>
                <w:b/>
                <w:bCs/>
                <w:color w:val="FFFFFF" w:themeColor="background1"/>
                <w:kern w:val="0"/>
                <w:sz w:val="24"/>
                <w:szCs w:val="24"/>
              </w:rPr>
              <w:t xml:space="preserve">/Price</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w:t>
            </w:r>
            <w:r w:rsidR="00AF106C">
              <w:rPr>
                <w:rFonts w:ascii="微软雅黑" w:eastAsia="微软雅黑" w:hAnsi="微软雅黑" w:cs="宋体" w:hint="eastAsia"/>
                <w:bCs/>
                <w:color w:val="404040" w:themeColor="text1" w:themeTint="BF"/>
                <w:kern w:val="0"/>
                <w:sz w:val="24"/>
                <w:szCs w:val="24"/>
              </w:rPr>
              <w:t xml:space="preserve">5280</w:t>
            </w:r>
            <w:r>
              <w:rPr>
                <w:rFonts w:ascii="微软雅黑" w:eastAsia="微软雅黑" w:hAnsi="微软雅黑" w:cs="宋体" w:hint="eastAsia"/>
                <w:bCs/>
                <w:color w:val="404040" w:themeColor="text1" w:themeTint="BF"/>
                <w:kern w:val="0"/>
                <w:sz w:val="24"/>
                <w:szCs w:val="24"/>
              </w:rPr>
              <w:t xml:space="preserve">元</w:t>
            </w:r>
            <w:r>
              <w:rPr>
                <w:rFonts w:ascii="微软雅黑" w:eastAsia="微软雅黑" w:hAnsi="微软雅黑" w:cs="宋体"/>
                <w:bCs/>
                <w:color w:val="404040" w:themeColor="text1" w:themeTint="BF"/>
                <w:kern w:val="0"/>
                <w:sz w:val="24"/>
                <w:szCs w:val="24"/>
              </w:rPr>
              <w:t xml:space="preserve">/</w:t>
            </w:r>
            <w:r>
              <w:rPr>
                <w:rFonts w:ascii="微软雅黑" w:eastAsia="微软雅黑" w:hAnsi="微软雅黑" w:cs="宋体" w:hint="eastAsia"/>
                <w:bCs/>
                <w:color w:val="404040" w:themeColor="text1" w:themeTint="BF"/>
                <w:kern w:val="0"/>
                <w:sz w:val="24"/>
                <w:szCs w:val="24"/>
              </w:rPr>
              <w:t xml:space="preserve">人</w:t>
            </w:r>
          </w:p>
        </w:tc>
      </w:tr>
    </w:tbl>
    <w:p>
      <w:pPr>
        <w:spacing w:before="156" w:beforeLines="50"/>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说明</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本课程大纲仅针对上述排期，其他排期的</w:t>
      </w:r>
      <w:r>
        <w:rPr>
          <w:rFonts w:ascii="楷体" w:eastAsia="楷体" w:hAnsi="楷体" w:cs="微软雅黑" w:hint="eastAsia"/>
          <w:bCs/>
          <w:color w:val="C00000"/>
          <w:sz w:val="20"/>
          <w:szCs w:val="20"/>
        </w:rPr>
        <w:t xml:space="preserve">课纲请另行</w:t>
      </w:r>
      <w:r>
        <w:rPr>
          <w:rFonts w:ascii="楷体" w:eastAsia="楷体" w:hAnsi="楷体" w:cs="微软雅黑" w:hint="eastAsia"/>
          <w:bCs/>
          <w:color w:val="C00000"/>
          <w:sz w:val="20"/>
          <w:szCs w:val="20"/>
        </w:rPr>
        <w:t xml:space="preserve">下载</w:t>
      </w:r>
      <w:r w:rsidR="00430CE0">
        <w:rPr>
          <w:rFonts w:ascii="楷体" w:eastAsia="楷体" w:hAnsi="楷体" w:cs="微软雅黑" w:hint="eastAsia"/>
          <w:bCs/>
          <w:color w:val="C00000"/>
          <w:sz w:val="20"/>
          <w:szCs w:val="20"/>
        </w:rPr>
        <w:t xml:space="preserve">后</w:t>
      </w:r>
      <w:r>
        <w:rPr>
          <w:rFonts w:ascii="楷体" w:eastAsia="楷体" w:hAnsi="楷体" w:cs="微软雅黑" w:hint="eastAsia"/>
          <w:bCs/>
          <w:color w:val="C00000"/>
          <w:sz w:val="20"/>
          <w:szCs w:val="20"/>
        </w:rPr>
        <w:t xml:space="preserve">查看。）</w:t>
      </w:r>
    </w:p>
    <w:p>
      <w:pPr>
        <w:snapToGrid w:val="0"/>
        <w:rPr>
          <w:rFonts w:ascii="微软雅黑" w:eastAsia="微软雅黑" w:hAnsi="微软雅黑" w:hint="eastAsia"/>
          <w:sz w:val="20"/>
          <w:szCs w:val="20"/>
        </w:rPr>
      </w:pPr>
    </w:p>
    <w:p>
      <w:pPr>
        <w:snapToGrid w:val="0"/>
        <w:spacing w:line="288" w:lineRule="auto"/>
        <w:rPr>
          <w:rFonts w:ascii="微软雅黑" w:eastAsia="微软雅黑" w:hAnsi="微软雅黑" w:cs="微软雅黑" w:hint="eastAsia"/>
          <w:color w:val="404040" w:themeColor="text1" w:themeTint="BF"/>
          <w:kern w:val="0"/>
          <w:sz w:val="20"/>
          <w:szCs w:val="20"/>
        </w:rPr>
      </w:pPr>
    </w:p>
    <w:p>
      <w:pPr>
        <w:snapToGrid w:val="0"/>
        <w:rPr>
          <w:rFonts w:ascii="微软雅黑" w:eastAsia="微软雅黑" w:hAnsi="微软雅黑" w:cs="微软雅黑" w:hint="eastAsia"/>
          <w:color w:val="2E74B5"/>
          <w:kern w:val="0"/>
          <w:sz w:val="20"/>
          <w:szCs w:val="20"/>
        </w:rPr>
      </w:pPr>
      <w:r>
        <w:rPr>
          <w:rFonts w:ascii="微软雅黑" w:eastAsia="微软雅黑" w:hAnsi="微软雅黑" w:cs="宋体" w:hint="eastAsia"/>
          <w:b/>
          <w:bCs/>
          <w:color w:val="2E74B5"/>
          <w:kern w:val="0"/>
          <w:sz w:val="26"/>
          <w:szCs w:val="26"/>
        </w:rPr>
        <w:t xml:space="preserve">全部</w:t>
      </w:r>
      <w:r w:rsidRPr="0069697E">
        <w:rPr>
          <w:rFonts w:ascii="微软雅黑" w:eastAsia="微软雅黑" w:hAnsi="微软雅黑" w:cs="宋体" w:hint="eastAsia"/>
          <w:b/>
          <w:bCs/>
          <w:color w:val="2E74B5"/>
          <w:kern w:val="0"/>
          <w:sz w:val="26"/>
          <w:szCs w:val="26"/>
        </w:rPr>
        <w:t xml:space="preserve">排期/</w:t>
      </w:r>
      <w:r w:rsidRPr="0069697E">
        <w:rPr>
          <w:rFonts w:ascii="微软雅黑" w:eastAsia="微软雅黑" w:hAnsi="微软雅黑" w:cs="宋体"/>
          <w:b/>
          <w:bCs/>
          <w:color w:val="2E74B5"/>
          <w:kern w:val="0"/>
          <w:sz w:val="26"/>
          <w:szCs w:val="26"/>
        </w:rPr>
        <w:t xml:space="preserve">Scheduling</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上海：2026年10月21日-22日（牟老师）     |     北京：2027年01月15日-16日（牟老师）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深圳：2027年04月20日-21日（牟老师）     |     北京：2027年05月21日-22日（牟老师）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深圳：2027年07月21日-22日（牟老师）     |     北京：2027年09月03日-04日（牟老师）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上海：2027年10月30日-31日（牟老师）     |     北京：2027年11月17日-18日（牟老师）</w:t>
      </w:r>
      <w:r w:rsidR="00000000">
        <w:rPr>
          <w:rFonts w:ascii="微软雅黑" w:eastAsia="微软雅黑" w:hAnsi="微软雅黑" w:cs="微软雅黑" w:hint="eastAsia"/>
          <w:bCs/>
          <w:color w:val="000000"/>
          <w:sz w:val="20"/>
        </w:rPr>
        <w:t xml:space="preserve">  </w:t>
      </w:r>
    </w:p>
    <w:p>
      <w:pPr>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sidR="00F25D4E">
        <w:rPr>
          <w:rFonts w:ascii="楷体" w:eastAsia="楷体" w:hAnsi="楷体" w:cs="微软雅黑" w:hint="eastAsia"/>
          <w:bCs/>
          <w:color w:val="C00000"/>
          <w:sz w:val="20"/>
          <w:szCs w:val="20"/>
        </w:rPr>
        <w:t xml:space="preserve">特别提醒</w:t>
      </w:r>
      <w:r w:rsidR="00430CE0">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不同城市不同场次的授课讲师及大纲可能有差异，具体请</w:t>
      </w:r>
      <w:r w:rsidR="00EC7ACA">
        <w:rPr>
          <w:rFonts w:ascii="楷体" w:eastAsia="楷体" w:hAnsi="楷体" w:cs="微软雅黑" w:hint="eastAsia"/>
          <w:bCs/>
          <w:color w:val="C00000"/>
          <w:sz w:val="20"/>
          <w:szCs w:val="20"/>
        </w:rPr>
        <w:t xml:space="preserve">务必</w:t>
      </w:r>
      <w:r w:rsidR="00E17E8D">
        <w:rPr>
          <w:rFonts w:ascii="楷体" w:eastAsia="楷体" w:hAnsi="楷体" w:cs="微软雅黑" w:hint="eastAsia"/>
          <w:bCs/>
          <w:color w:val="C00000"/>
          <w:sz w:val="20"/>
          <w:szCs w:val="20"/>
        </w:rPr>
        <w:t xml:space="preserve">参照</w:t>
      </w:r>
      <w:r w:rsidRPr="000A44FD">
        <w:rPr>
          <w:rFonts w:ascii="楷体" w:eastAsia="楷体" w:hAnsi="楷体" w:cs="微软雅黑" w:hint="eastAsia"/>
          <w:bCs/>
          <w:color w:val="C00000"/>
          <w:sz w:val="20"/>
          <w:szCs w:val="20"/>
        </w:rPr>
        <w:t xml:space="preserve">对应场次的课程大纲内容。</w:t>
      </w:r>
      <w:r>
        <w:rPr>
          <w:rFonts w:ascii="楷体" w:eastAsia="楷体" w:hAnsi="楷体" w:cs="微软雅黑" w:hint="eastAsia"/>
          <w:bCs/>
          <w:color w:val="C00000"/>
          <w:sz w:val="20"/>
          <w:szCs w:val="20"/>
        </w:rPr>
        <w:t xml:space="preserve">）</w:t>
      </w:r>
    </w:p>
    <w:p>
      <w:pPr>
        <w:rPr>
          <w:rFonts w:hint="eastAsia"/>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课程概述/Overview</w:t>
      </w:r>
    </w:p>
    <w:p>
      <w:pPr/>
      <w:r>
        <w:rPr>
          <w:rFonts w:ascii="微软雅黑" w:eastAsia="微软雅黑" w:hAnsi="微软雅黑" w:cs="微软雅黑"/>
          <w:b/>
          <w:color w:val="000000"/>
          <w:sz w:val="22"/>
        </w:rPr>
        <w:t xml:space="preserve">课程收益</w:t>
      </w:r>
    </w:p>
    <w:p>
      <w:pPr>
        <w:rPr/>
      </w:pPr>
      <w:r>
        <w:rPr>
          <w:rFonts w:ascii="微软雅黑" w:eastAsia="微软雅黑" w:hAnsi="微软雅黑" w:cs="微软雅黑"/>
          <w:sz w:val="20"/>
        </w:rPr>
        <w:t xml:space="preserve">● 带着各种痛点问题来，带着成熟系统答案走，现场落地转化-共同见证落地成果；</w:t>
      </w:r>
    </w:p>
    <w:p>
      <w:pPr>
        <w:rPr/>
      </w:pPr>
      <w:r>
        <w:rPr>
          <w:rFonts w:ascii="微软雅黑" w:eastAsia="微软雅黑" w:hAnsi="微软雅黑" w:cs="微软雅黑"/>
          <w:sz w:val="20"/>
        </w:rPr>
        <w:t xml:space="preserve">● 版权落地工具-速成式人员培养，短效时间将“普通职业人”变成“专业成果控制--谈判专家”；</w:t>
      </w:r>
    </w:p>
    <w:p>
      <w:pPr>
        <w:rPr/>
      </w:pPr>
      <w:r>
        <w:rPr>
          <w:rFonts w:ascii="微软雅黑" w:eastAsia="微软雅黑" w:hAnsi="微软雅黑" w:cs="微软雅黑"/>
          <w:sz w:val="20"/>
        </w:rPr>
        <w:t xml:space="preserve">● 关键谈判影响步骤细致分解-从思维清晰，到具体言行动作标准清晰；</w:t>
      </w:r>
    </w:p>
    <w:p>
      <w:pPr>
        <w:rPr/>
      </w:pPr>
      <w:r>
        <w:rPr>
          <w:rFonts w:ascii="微软雅黑" w:eastAsia="微软雅黑" w:hAnsi="微软雅黑" w:cs="微软雅黑"/>
          <w:sz w:val="20"/>
        </w:rPr>
        <w:t xml:space="preserve">● 课堂现场定制-1V1独属个人的“谈判实践指导手册”，且在课程中教授如何课后持续迭代升级谈判手册的方法；</w:t>
      </w:r>
    </w:p>
    <w:p>
      <w:pPr>
        <w:rPr/>
      </w:pPr>
      <w:r>
        <w:rPr>
          <w:rFonts w:ascii="微软雅黑" w:eastAsia="微软雅黑" w:hAnsi="微软雅黑" w:cs="微软雅黑"/>
          <w:sz w:val="20"/>
        </w:rPr>
        <w:t xml:space="preserve">● 学会一套百变通用的谈判思维，可举一反三式使用到人生-工作、生活多类影响类问题解决需求中。</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授课风格</w:t>
      </w:r>
    </w:p>
    <w:p>
      <w:pPr>
        <w:rPr/>
      </w:pPr>
      <w:r>
        <w:rPr>
          <w:rFonts w:ascii="微软雅黑" w:eastAsia="微软雅黑" w:hAnsi="微软雅黑" w:cs="微软雅黑"/>
          <w:sz w:val="20"/>
        </w:rPr>
        <w:t xml:space="preserve">以咨询式培训视角，从落地应用产出结果为目标做系统课程设计。</w:t>
      </w:r>
    </w:p>
    <w:p>
      <w:pPr>
        <w:rPr/>
      </w:pPr>
      <w:r>
        <w:rPr>
          <w:rFonts w:ascii="微软雅黑" w:eastAsia="微软雅黑" w:hAnsi="微软雅黑" w:cs="微软雅黑"/>
          <w:sz w:val="20"/>
        </w:rPr>
        <w:t xml:space="preserve">课程紧密结合时代发展与行业背景，以咨询式结果落地目标视角，做实效性培训辅导，落地，互动性较强，形式丰富，学习氛围热烈；注重课程实用度，课中以学员自身问题案例，结合课堂技巧工具做现场问题解决方案设计、课程当下落地成果交付，配合课后“实践应用指导手册”长线成长支持，大大促进学习持续精进。</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课程对象</w:t>
      </w:r>
    </w:p>
    <w:p>
      <w:pPr>
        <w:rPr/>
      </w:pPr>
      <w:r>
        <w:rPr>
          <w:rFonts w:ascii="微软雅黑" w:eastAsia="微软雅黑" w:hAnsi="微软雅黑" w:cs="微软雅黑"/>
          <w:sz w:val="20"/>
        </w:rPr>
        <w:t xml:space="preserve">企业老板、企业高管人员，中基层管理人员、销售人员、骨干精英、涉及沟通谈判岗位的所有工作人员</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课程方式</w:t>
      </w:r>
    </w:p>
    <w:p>
      <w:pPr>
        <w:rPr/>
      </w:pPr>
      <w:r>
        <w:rPr>
          <w:rFonts w:ascii="微软雅黑" w:eastAsia="微软雅黑" w:hAnsi="微软雅黑" w:cs="微软雅黑"/>
          <w:sz w:val="20"/>
        </w:rPr>
        <w:t xml:space="preserve">讲师讲授，影视分析、案例讨论、互动交流，分组讨论，角色扮演、头脑风暴，现场辅导，自我觉察，行动方案</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课程大纲/Outline</w:t>
      </w:r>
      <w:r/>
    </w:p>
    <w:p>
      <w:pPr>
        <w:rPr/>
      </w:pPr>
      <w:r>
        <w:rPr>
          <w:rFonts w:ascii="微软雅黑" w:eastAsia="微软雅黑" w:hAnsi="微软雅黑" w:cs="微软雅黑"/>
          <w:b/>
          <w:color w:val="000000"/>
          <w:sz w:val="22"/>
        </w:rPr>
        <w:t xml:space="preserve">单元一：先判再谈，提前把控胜局之“谈判框架总述”</w:t>
      </w:r>
    </w:p>
    <w:p>
      <w:pPr>
        <w:rPr/>
      </w:pPr>
      <w:r>
        <w:rPr>
          <w:rFonts w:ascii="微软雅黑" w:eastAsia="微软雅黑" w:hAnsi="微软雅黑" w:cs="微软雅黑"/>
          <w:sz w:val="20"/>
        </w:rPr>
        <w:t xml:space="preserve">◆时代巨变-社会互动主旋律策略迭代升级</w:t>
      </w:r>
    </w:p>
    <w:p>
      <w:pPr>
        <w:rPr/>
      </w:pPr>
      <w:r>
        <w:rPr>
          <w:rFonts w:ascii="微软雅黑" w:eastAsia="微软雅黑" w:hAnsi="微软雅黑" w:cs="微软雅黑"/>
          <w:sz w:val="20"/>
        </w:rPr>
        <w:t xml:space="preserve">◎“高认知-知识工作者”成为社会主流人群</w:t>
      </w:r>
    </w:p>
    <w:p>
      <w:pPr>
        <w:rPr/>
      </w:pPr>
      <w:r>
        <w:rPr>
          <w:rFonts w:ascii="微软雅黑" w:eastAsia="微软雅黑" w:hAnsi="微软雅黑" w:cs="微软雅黑"/>
          <w:sz w:val="20"/>
        </w:rPr>
        <w:t xml:space="preserve">◎“内卷压力山大-焦虑易燥情绪”成有效沟通的首层障碍</w:t>
      </w:r>
    </w:p>
    <w:p>
      <w:pPr>
        <w:rPr/>
      </w:pPr>
      <w:r>
        <w:rPr>
          <w:rFonts w:ascii="微软雅黑" w:eastAsia="微软雅黑" w:hAnsi="微软雅黑" w:cs="微软雅黑"/>
          <w:sz w:val="20"/>
        </w:rPr>
        <w:t xml:space="preserve">◎“说服策略”逐步失效--“利益对话”是行为真正驱动力</w:t>
      </w:r>
    </w:p>
    <w:p>
      <w:pPr>
        <w:rPr/>
      </w:pPr>
      <w:r>
        <w:rPr>
          <w:rFonts w:ascii="微软雅黑" w:eastAsia="微软雅黑" w:hAnsi="微软雅黑" w:cs="微软雅黑"/>
          <w:sz w:val="20"/>
        </w:rPr>
        <w:t xml:space="preserve">◎“互动影响”从“说服策略”--全面升级为“谈判策略”</w:t>
      </w:r>
    </w:p>
    <w:p>
      <w:pPr>
        <w:rPr/>
      </w:pPr>
      <w:r>
        <w:rPr>
          <w:rFonts w:ascii="微软雅黑" w:eastAsia="微软雅黑" w:hAnsi="微软雅黑" w:cs="微软雅黑"/>
          <w:sz w:val="20"/>
        </w:rPr>
        <w:t xml:space="preserve">◆谈判开口即知段位</w:t>
      </w:r>
    </w:p>
    <w:p>
      <w:pPr>
        <w:rPr/>
      </w:pPr>
      <w:r>
        <w:rPr>
          <w:rFonts w:ascii="微软雅黑" w:eastAsia="微软雅黑" w:hAnsi="微软雅黑" w:cs="微软雅黑"/>
          <w:sz w:val="20"/>
        </w:rPr>
        <w:t xml:space="preserve">◎现场即时情境测评--语言一出口，谈判能力级别已判定</w:t>
      </w:r>
    </w:p>
    <w:p>
      <w:pPr>
        <w:rPr/>
      </w:pPr>
      <w:r>
        <w:rPr>
          <w:rFonts w:ascii="微软雅黑" w:eastAsia="微软雅黑" w:hAnsi="微软雅黑" w:cs="微软雅黑"/>
          <w:sz w:val="20"/>
        </w:rPr>
        <w:t xml:space="preserve">  ◎专业谈判路线--没谈之前，胜局已驾驭</w:t>
      </w:r>
    </w:p>
    <w:p>
      <w:pPr>
        <w:rPr/>
      </w:pPr>
      <w:r>
        <w:rPr>
          <w:rFonts w:ascii="微软雅黑" w:eastAsia="微软雅黑" w:hAnsi="微软雅黑" w:cs="微软雅黑"/>
          <w:sz w:val="20"/>
        </w:rPr>
        <w:t xml:space="preserve">◆心理学工具-直观能力测试（我是合格“谈判者”吗？）</w:t>
      </w:r>
    </w:p>
    <w:p>
      <w:pPr>
        <w:rPr/>
      </w:pPr>
      <w:r>
        <w:rPr>
          <w:rFonts w:ascii="微软雅黑" w:eastAsia="微软雅黑" w:hAnsi="微软雅黑" w:cs="微软雅黑"/>
          <w:sz w:val="20"/>
        </w:rPr>
        <w:t xml:space="preserve">(1)自我评估-我是冷静/高效能“谈判影响者”状态吗？</w:t>
      </w:r>
    </w:p>
    <w:p>
      <w:pPr>
        <w:rPr/>
      </w:pPr>
      <w:r>
        <w:rPr>
          <w:rFonts w:ascii="微软雅黑" w:eastAsia="微软雅黑" w:hAnsi="微软雅黑" w:cs="微软雅黑"/>
          <w:sz w:val="20"/>
        </w:rPr>
        <w:t xml:space="preserve">(2)需求洞察-我在有效互动，影响需求吗？</w:t>
      </w:r>
    </w:p>
    <w:p>
      <w:pPr>
        <w:rPr/>
      </w:pPr>
      <w:r>
        <w:rPr>
          <w:rFonts w:ascii="微软雅黑" w:eastAsia="微软雅黑" w:hAnsi="微软雅黑" w:cs="微软雅黑"/>
          <w:sz w:val="20"/>
        </w:rPr>
        <w:t xml:space="preserve">(3)谈判控制-我在把控谈判节奏和驾驭结果吗？</w:t>
      </w:r>
    </w:p>
    <w:p>
      <w:pPr>
        <w:rPr/>
      </w:pPr>
      <w:r>
        <w:rPr>
          <w:rFonts w:ascii="微软雅黑" w:eastAsia="微软雅黑" w:hAnsi="微软雅黑" w:cs="微软雅黑"/>
          <w:sz w:val="20"/>
        </w:rPr>
        <w:t xml:space="preserve">◆谈判-底层逻辑框架拆解-预判你需要几步成交？</w:t>
      </w:r>
    </w:p>
    <w:p>
      <w:pPr>
        <w:rPr/>
      </w:pPr>
      <w:r>
        <w:rPr>
          <w:rFonts w:ascii="微软雅黑" w:eastAsia="微软雅黑" w:hAnsi="微软雅黑" w:cs="微软雅黑"/>
          <w:sz w:val="20"/>
        </w:rPr>
        <w:t xml:space="preserve">◎开局篇：开局破冰、探寻摸底、价值传递</w:t>
      </w:r>
    </w:p>
    <w:p>
      <w:pPr>
        <w:rPr/>
      </w:pPr>
      <w:r>
        <w:rPr>
          <w:rFonts w:ascii="微软雅黑" w:eastAsia="微软雅黑" w:hAnsi="微软雅黑" w:cs="微软雅黑"/>
          <w:sz w:val="20"/>
        </w:rPr>
        <w:t xml:space="preserve">◎磋商篇：讨价还价、决策干预、僵局突破</w:t>
      </w:r>
    </w:p>
    <w:p>
      <w:pPr>
        <w:rPr/>
      </w:pPr>
      <w:r>
        <w:rPr>
          <w:rFonts w:ascii="微软雅黑" w:eastAsia="微软雅黑" w:hAnsi="微软雅黑" w:cs="微软雅黑"/>
          <w:sz w:val="20"/>
        </w:rPr>
        <w:t xml:space="preserve">◎成果篇：缔结签约</w:t>
      </w:r>
    </w:p>
    <w:p>
      <w:pPr>
        <w:rPr/>
      </w:pPr>
      <w:r>
        <w:rPr>
          <w:rFonts w:ascii="微软雅黑" w:eastAsia="微软雅黑" w:hAnsi="微软雅黑" w:cs="微软雅黑"/>
          <w:sz w:val="20"/>
        </w:rPr>
        <w:t xml:space="preserve">◆谈判-双线控制-确定策略路线</w:t>
      </w:r>
    </w:p>
    <w:p>
      <w:pPr>
        <w:rPr/>
      </w:pPr>
      <w:r>
        <w:rPr>
          <w:rFonts w:ascii="微软雅黑" w:eastAsia="微软雅黑" w:hAnsi="微软雅黑" w:cs="微软雅黑"/>
          <w:sz w:val="20"/>
        </w:rPr>
        <w:t xml:space="preserve">◎合作预期？◎条件预期？</w:t>
      </w:r>
    </w:p>
    <w:p>
      <w:pPr>
        <w:rPr/>
      </w:pPr>
      <w:r>
        <w:rPr>
          <w:rFonts w:ascii="微软雅黑" w:eastAsia="微软雅黑" w:hAnsi="微软雅黑" w:cs="微软雅黑"/>
          <w:sz w:val="20"/>
        </w:rPr>
        <w:t xml:space="preserve">成果输出</w:t>
      </w:r>
    </w:p>
    <w:p>
      <w:pPr>
        <w:rPr/>
      </w:pPr>
      <w:r>
        <w:rPr>
          <w:rFonts w:ascii="微软雅黑" w:eastAsia="微软雅黑" w:hAnsi="微软雅黑" w:cs="微软雅黑"/>
          <w:sz w:val="20"/>
        </w:rPr>
        <w:t xml:space="preserve">个人定位清晰</w:t>
      </w:r>
    </w:p>
    <w:p>
      <w:pPr>
        <w:rPr/>
      </w:pPr>
      <w:r>
        <w:rPr>
          <w:rFonts w:ascii="微软雅黑" w:eastAsia="微软雅黑" w:hAnsi="微软雅黑" w:cs="微软雅黑"/>
          <w:sz w:val="20"/>
        </w:rPr>
        <w:t xml:space="preserve">意识管理实践卡</w:t>
      </w:r>
    </w:p>
    <w:p>
      <w:pPr>
        <w:rPr/>
      </w:pPr>
      <w:r>
        <w:rPr>
          <w:rFonts w:ascii="微软雅黑" w:eastAsia="微软雅黑" w:hAnsi="微软雅黑" w:cs="微软雅黑"/>
          <w:sz w:val="20"/>
        </w:rPr>
        <w:t xml:space="preserve">谈判成长地图</w:t>
      </w:r>
    </w:p>
    <w:p>
      <w:pPr>
        <w:rPr/>
      </w:pPr>
      <w:r>
        <w:rPr>
          <w:rFonts w:ascii="微软雅黑" w:eastAsia="微软雅黑" w:hAnsi="微软雅黑" w:cs="微软雅黑"/>
          <w:sz w:val="20"/>
        </w:rPr>
        <w:t xml:space="preserve">谈判步骤清晰</w:t>
      </w:r>
    </w:p>
    <w:p>
      <w:pPr>
        <w:rPr/>
      </w:pPr>
      <w:r>
        <w:rPr>
          <w:rFonts w:ascii="微软雅黑" w:eastAsia="微软雅黑" w:hAnsi="微软雅黑" w:cs="微软雅黑"/>
          <w:sz w:val="20"/>
        </w:rPr>
        <w:t xml:space="preserve">7步谈判逻辑</w:t>
      </w:r>
    </w:p>
    <w:p>
      <w:pPr>
        <w:rPr/>
      </w:pPr>
      <w:r>
        <w:rPr>
          <w:rFonts w:ascii="微软雅黑" w:eastAsia="微软雅黑" w:hAnsi="微软雅黑" w:cs="微软雅黑"/>
          <w:sz w:val="20"/>
        </w:rPr>
        <w:t xml:space="preserve">博弈头脑冷静</w:t>
      </w:r>
    </w:p>
    <w:p>
      <w:pPr>
        <w:rPr/>
      </w:pPr>
      <w:r>
        <w:rPr>
          <w:rFonts w:ascii="微软雅黑" w:eastAsia="微软雅黑" w:hAnsi="微软雅黑" w:cs="微软雅黑"/>
          <w:sz w:val="20"/>
        </w:rPr>
        <w:t xml:space="preserve">言行标准清晰</w:t>
      </w:r>
    </w:p>
    <w:p>
      <w:pPr>
        <w:rPr/>
      </w:pPr>
      <w:r>
        <w:rPr>
          <w:rFonts w:ascii="微软雅黑" w:eastAsia="微软雅黑" w:hAnsi="微软雅黑" w:cs="微软雅黑"/>
          <w:sz w:val="20"/>
        </w:rPr>
        <w:t xml:space="preserve">能力温度计工具</w:t>
      </w:r>
    </w:p>
    <w:p>
      <w:pPr>
        <w:rPr/>
      </w:pPr>
      <w:r>
        <w:rPr>
          <w:rFonts w:ascii="微软雅黑" w:eastAsia="微软雅黑" w:hAnsi="微软雅黑" w:cs="微软雅黑"/>
          <w:sz w:val="20"/>
        </w:rPr>
        <w:t xml:space="preserve">细节分寸把关</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单元二：双赢谈判之“开局篇”</w:t>
      </w:r>
    </w:p>
    <w:p>
      <w:pPr>
        <w:rPr/>
      </w:pPr>
      <w:r>
        <w:rPr>
          <w:rFonts w:ascii="微软雅黑" w:eastAsia="微软雅黑" w:hAnsi="微软雅黑" w:cs="微软雅黑"/>
          <w:sz w:val="20"/>
        </w:rPr>
        <w:t xml:space="preserve">◆开局破冰赢得信任</w:t>
      </w:r>
    </w:p>
    <w:p>
      <w:pPr>
        <w:rPr/>
      </w:pPr>
      <w:r>
        <w:rPr>
          <w:rFonts w:ascii="微软雅黑" w:eastAsia="微软雅黑" w:hAnsi="微软雅黑" w:cs="微软雅黑"/>
          <w:sz w:val="20"/>
        </w:rPr>
        <w:t xml:space="preserve">◎利益筹码谈判核心</w:t>
      </w:r>
    </w:p>
    <w:p>
      <w:pPr>
        <w:rPr/>
      </w:pPr>
      <w:r>
        <w:rPr>
          <w:rFonts w:ascii="微软雅黑" w:eastAsia="微软雅黑" w:hAnsi="微软雅黑" w:cs="微软雅黑"/>
          <w:sz w:val="20"/>
        </w:rPr>
        <w:t xml:space="preserve">将“资源”转化“筹码”的四套影响思维</w:t>
      </w:r>
    </w:p>
    <w:p>
      <w:pPr>
        <w:rPr/>
      </w:pPr>
      <w:r>
        <w:rPr>
          <w:rFonts w:ascii="微软雅黑" w:eastAsia="微软雅黑" w:hAnsi="微软雅黑" w:cs="微软雅黑"/>
          <w:sz w:val="20"/>
        </w:rPr>
        <w:t xml:space="preserve">（正码、负码、固码、创码）</w:t>
      </w:r>
    </w:p>
    <w:p>
      <w:pPr>
        <w:rPr/>
      </w:pPr>
      <w:r>
        <w:rPr>
          <w:rFonts w:ascii="微软雅黑" w:eastAsia="微软雅黑" w:hAnsi="微软雅黑" w:cs="微软雅黑"/>
          <w:sz w:val="20"/>
        </w:rPr>
        <w:t xml:space="preserve">◎情绪障碍---感受背后挖需求</w:t>
      </w:r>
    </w:p>
    <w:p>
      <w:pPr>
        <w:rPr/>
      </w:pPr>
      <w:r>
        <w:rPr>
          <w:rFonts w:ascii="微软雅黑" w:eastAsia="微软雅黑" w:hAnsi="微软雅黑" w:cs="微软雅黑"/>
          <w:sz w:val="20"/>
        </w:rPr>
        <w:t xml:space="preserve">（10-13级情绪障碍-应对技巧、14级以下情绪障碍破局建议）</w:t>
      </w:r>
    </w:p>
    <w:p>
      <w:pPr>
        <w:rPr/>
      </w:pPr>
      <w:r>
        <w:rPr>
          <w:rFonts w:ascii="微软雅黑" w:eastAsia="微软雅黑" w:hAnsi="微软雅黑" w:cs="微软雅黑"/>
          <w:sz w:val="20"/>
        </w:rPr>
        <w:t xml:space="preserve">◎合作意愿动力</w:t>
      </w:r>
    </w:p>
    <w:p>
      <w:pPr>
        <w:rPr/>
      </w:pPr>
      <w:r>
        <w:rPr>
          <w:rFonts w:ascii="微软雅黑" w:eastAsia="微软雅黑" w:hAnsi="微软雅黑" w:cs="微软雅黑"/>
          <w:sz w:val="20"/>
        </w:rPr>
        <w:t xml:space="preserve">◆探寻摸底锁定需求</w:t>
      </w:r>
    </w:p>
    <w:p>
      <w:pPr>
        <w:rPr/>
      </w:pPr>
      <w:r>
        <w:rPr>
          <w:rFonts w:ascii="微软雅黑" w:eastAsia="微软雅黑" w:hAnsi="微软雅黑" w:cs="微软雅黑"/>
          <w:sz w:val="20"/>
        </w:rPr>
        <w:t xml:space="preserve">  ◎时代需求维度视角</w:t>
      </w:r>
    </w:p>
    <w:p>
      <w:pPr>
        <w:rPr/>
      </w:pPr>
      <w:r>
        <w:rPr>
          <w:rFonts w:ascii="微软雅黑" w:eastAsia="微软雅黑" w:hAnsi="微软雅黑" w:cs="微软雅黑"/>
          <w:sz w:val="20"/>
        </w:rPr>
        <w:t xml:space="preserve">◎需求识别--四阶需求识别能力训练</w:t>
      </w:r>
    </w:p>
    <w:p>
      <w:pPr>
        <w:rPr/>
      </w:pPr>
      <w:r>
        <w:rPr>
          <w:rFonts w:ascii="微软雅黑" w:eastAsia="微软雅黑" w:hAnsi="微软雅黑" w:cs="微软雅黑"/>
          <w:sz w:val="20"/>
        </w:rPr>
        <w:t xml:space="preserve">  1阶：透过立场看需求</w:t>
      </w:r>
    </w:p>
    <w:p>
      <w:pPr>
        <w:rPr/>
      </w:pPr>
      <w:r>
        <w:rPr>
          <w:rFonts w:ascii="微软雅黑" w:eastAsia="微软雅黑" w:hAnsi="微软雅黑" w:cs="微软雅黑"/>
          <w:sz w:val="20"/>
        </w:rPr>
        <w:t xml:space="preserve">  2阶：透过感受看需求</w:t>
      </w:r>
    </w:p>
    <w:p>
      <w:pPr>
        <w:rPr/>
      </w:pPr>
      <w:r>
        <w:rPr>
          <w:rFonts w:ascii="微软雅黑" w:eastAsia="微软雅黑" w:hAnsi="微软雅黑" w:cs="微软雅黑"/>
          <w:sz w:val="20"/>
        </w:rPr>
        <w:t xml:space="preserve">  3阶：透过评价触发体系分析需求</w:t>
      </w:r>
    </w:p>
    <w:p>
      <w:pPr>
        <w:rPr/>
      </w:pPr>
      <w:r>
        <w:rPr>
          <w:rFonts w:ascii="微软雅黑" w:eastAsia="微软雅黑" w:hAnsi="微软雅黑" w:cs="微软雅黑"/>
          <w:sz w:val="20"/>
        </w:rPr>
        <w:t xml:space="preserve">  4阶：透过系统分析预判需求</w:t>
      </w:r>
    </w:p>
    <w:p>
      <w:pPr>
        <w:rPr/>
      </w:pPr>
      <w:r>
        <w:rPr>
          <w:rFonts w:ascii="微软雅黑" w:eastAsia="微软雅黑" w:hAnsi="微软雅黑" w:cs="微软雅黑"/>
          <w:sz w:val="20"/>
        </w:rPr>
        <w:t xml:space="preserve">◎AI辅助实操带练</w:t>
      </w:r>
    </w:p>
    <w:p>
      <w:pPr>
        <w:rPr/>
      </w:pPr>
      <w:r>
        <w:rPr>
          <w:rFonts w:ascii="微软雅黑" w:eastAsia="微软雅黑" w:hAnsi="微软雅黑" w:cs="微软雅黑"/>
          <w:sz w:val="20"/>
        </w:rPr>
        <w:t xml:space="preserve">◆价值传递-塑价改面</w:t>
      </w:r>
    </w:p>
    <w:p>
      <w:pPr>
        <w:rPr/>
      </w:pPr>
      <w:r>
        <w:rPr>
          <w:rFonts w:ascii="微软雅黑" w:eastAsia="微软雅黑" w:hAnsi="微软雅黑" w:cs="微软雅黑"/>
          <w:sz w:val="20"/>
        </w:rPr>
        <w:t xml:space="preserve">①需求--情感场景价值转化</w:t>
      </w:r>
    </w:p>
    <w:p>
      <w:pPr>
        <w:rPr/>
      </w:pPr>
      <w:r>
        <w:rPr>
          <w:rFonts w:ascii="微软雅黑" w:eastAsia="微软雅黑" w:hAnsi="微软雅黑" w:cs="微软雅黑"/>
          <w:sz w:val="20"/>
        </w:rPr>
        <w:t xml:space="preserve">②价值筹码素材库创建</w:t>
      </w:r>
    </w:p>
    <w:p>
      <w:pPr>
        <w:rPr/>
      </w:pPr>
      <w:r>
        <w:rPr>
          <w:rFonts w:ascii="微软雅黑" w:eastAsia="微软雅黑" w:hAnsi="微软雅黑" w:cs="微软雅黑"/>
          <w:sz w:val="20"/>
        </w:rPr>
        <w:t xml:space="preserve">③筹码匹配场景案例故事萃取</w:t>
      </w:r>
    </w:p>
    <w:p>
      <w:pPr>
        <w:rPr/>
      </w:pPr>
      <w:r>
        <w:rPr>
          <w:rFonts w:ascii="微软雅黑" w:eastAsia="微软雅黑" w:hAnsi="微软雅黑" w:cs="微软雅黑"/>
          <w:sz w:val="20"/>
        </w:rPr>
        <w:t xml:space="preserve">成果输出</w:t>
      </w:r>
    </w:p>
    <w:p>
      <w:pPr>
        <w:rPr/>
      </w:pPr>
      <w:r>
        <w:rPr>
          <w:rFonts w:ascii="微软雅黑" w:eastAsia="微软雅黑" w:hAnsi="微软雅黑" w:cs="微软雅黑"/>
          <w:sz w:val="20"/>
        </w:rPr>
        <w:t xml:space="preserve">定制1v1谈判手册</w:t>
      </w:r>
    </w:p>
    <w:p>
      <w:pPr>
        <w:rPr/>
      </w:pPr>
      <w:r>
        <w:rPr>
          <w:rFonts w:ascii="微软雅黑" w:eastAsia="微软雅黑" w:hAnsi="微软雅黑" w:cs="微软雅黑"/>
          <w:sz w:val="20"/>
        </w:rPr>
        <w:t xml:space="preserve">开局篇完成</w:t>
      </w:r>
    </w:p>
    <w:p>
      <w:pPr>
        <w:rPr/>
      </w:pPr>
      <w:r>
        <w:rPr>
          <w:rFonts w:ascii="微软雅黑" w:eastAsia="微软雅黑" w:hAnsi="微软雅黑" w:cs="微软雅黑"/>
          <w:sz w:val="20"/>
        </w:rPr>
        <w:t xml:space="preserve">细节要点逻辑与谈判步骤素材库基础版完成</w:t>
      </w:r>
    </w:p>
    <w:p>
      <w:pPr>
        <w:rPr/>
      </w:pPr>
      <w:r>
        <w:rPr>
          <w:rFonts w:ascii="微软雅黑" w:eastAsia="微软雅黑" w:hAnsi="微软雅黑" w:cs="微软雅黑"/>
          <w:sz w:val="20"/>
        </w:rPr>
        <w:t xml:space="preserve">1)破冰结构素材与话术示范</w:t>
      </w:r>
    </w:p>
    <w:p>
      <w:pPr>
        <w:rPr/>
      </w:pPr>
      <w:r>
        <w:rPr>
          <w:rFonts w:ascii="微软雅黑" w:eastAsia="微软雅黑" w:hAnsi="微软雅黑" w:cs="微软雅黑"/>
          <w:sz w:val="20"/>
        </w:rPr>
        <w:t xml:space="preserve">2)需求精准识别</w:t>
      </w:r>
    </w:p>
    <w:p>
      <w:pPr>
        <w:rPr/>
      </w:pPr>
      <w:r>
        <w:rPr>
          <w:rFonts w:ascii="微软雅黑" w:eastAsia="微软雅黑" w:hAnsi="微软雅黑" w:cs="微软雅黑"/>
          <w:sz w:val="20"/>
        </w:rPr>
        <w:t xml:space="preserve">3)筹码素材库</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单元三：双赢谈判之“磋商篇”</w:t>
      </w:r>
    </w:p>
    <w:p>
      <w:pPr>
        <w:rPr/>
      </w:pPr>
      <w:r>
        <w:rPr>
          <w:rFonts w:ascii="微软雅黑" w:eastAsia="微软雅黑" w:hAnsi="微软雅黑" w:cs="微软雅黑"/>
          <w:sz w:val="20"/>
        </w:rPr>
        <w:t xml:space="preserve">◆讨价还价科学链路逻辑设计</w:t>
      </w:r>
    </w:p>
    <w:p>
      <w:pPr>
        <w:rPr/>
      </w:pPr>
      <w:r>
        <w:rPr>
          <w:rFonts w:ascii="微软雅黑" w:eastAsia="微软雅黑" w:hAnsi="微软雅黑" w:cs="微软雅黑"/>
          <w:sz w:val="20"/>
        </w:rPr>
        <w:t xml:space="preserve">◎从询价方式、比价模式分析客户段位与价格思考逻辑</w:t>
      </w:r>
    </w:p>
    <w:p>
      <w:pPr>
        <w:rPr/>
      </w:pPr>
      <w:r>
        <w:rPr>
          <w:rFonts w:ascii="微软雅黑" w:eastAsia="微软雅黑" w:hAnsi="微软雅黑" w:cs="微软雅黑"/>
          <w:sz w:val="20"/>
        </w:rPr>
        <w:t xml:space="preserve">从自己背景匹配价格设计逻辑--定位报价方式与类型</w:t>
      </w:r>
    </w:p>
    <w:p>
      <w:pPr>
        <w:rPr/>
      </w:pPr>
      <w:r>
        <w:rPr>
          <w:rFonts w:ascii="微软雅黑" w:eastAsia="微软雅黑" w:hAnsi="微软雅黑" w:cs="微软雅黑"/>
          <w:sz w:val="20"/>
        </w:rPr>
        <w:t xml:space="preserve">◎报价链路逻辑设计</w:t>
      </w:r>
    </w:p>
    <w:p>
      <w:pPr>
        <w:rPr/>
      </w:pPr>
      <w:r>
        <w:rPr>
          <w:rFonts w:ascii="微软雅黑" w:eastAsia="微软雅黑" w:hAnsi="微软雅黑" w:cs="微软雅黑"/>
          <w:sz w:val="20"/>
        </w:rPr>
        <w:t xml:space="preserve">双重锚定对标设计、让价设计（次数、幅度、阶梯让价逻辑设计、双元交换条件方案储备、分步让价匹配细节技巧要求与实操练习）、报价不可忽视的战略考量细节提醒</w:t>
      </w:r>
    </w:p>
    <w:p>
      <w:pPr>
        <w:rPr/>
      </w:pPr>
      <w:r>
        <w:rPr>
          <w:rFonts w:ascii="微软雅黑" w:eastAsia="微软雅黑" w:hAnsi="微软雅黑" w:cs="微软雅黑"/>
          <w:sz w:val="20"/>
        </w:rPr>
        <w:t xml:space="preserve">◆影响决策防患干扰因素</w:t>
      </w:r>
    </w:p>
    <w:p>
      <w:pPr>
        <w:rPr/>
      </w:pPr>
      <w:r>
        <w:rPr>
          <w:rFonts w:ascii="微软雅黑" w:eastAsia="微软雅黑" w:hAnsi="微软雅黑" w:cs="微软雅黑"/>
          <w:sz w:val="20"/>
        </w:rPr>
        <w:t xml:space="preserve">◎决策障碍分析（决策体系障碍、决策人员障碍）</w:t>
      </w:r>
    </w:p>
    <w:p>
      <w:pPr>
        <w:rPr/>
      </w:pPr>
      <w:r>
        <w:rPr>
          <w:rFonts w:ascii="微软雅黑" w:eastAsia="微软雅黑" w:hAnsi="微软雅黑" w:cs="微软雅黑"/>
          <w:sz w:val="20"/>
        </w:rPr>
        <w:t xml:space="preserve">◎制定干预方案</w:t>
      </w:r>
    </w:p>
    <w:p>
      <w:pPr>
        <w:rPr/>
      </w:pPr>
      <w:r>
        <w:rPr>
          <w:rFonts w:ascii="微软雅黑" w:eastAsia="微软雅黑" w:hAnsi="微软雅黑" w:cs="微软雅黑"/>
          <w:sz w:val="20"/>
        </w:rPr>
        <w:t xml:space="preserve">1）体系决策--体系置改影响策略</w:t>
      </w:r>
    </w:p>
    <w:p>
      <w:pPr>
        <w:rPr/>
      </w:pPr>
      <w:r>
        <w:rPr>
          <w:rFonts w:ascii="微软雅黑" w:eastAsia="微软雅黑" w:hAnsi="微软雅黑" w:cs="微软雅黑"/>
          <w:sz w:val="20"/>
        </w:rPr>
        <w:t xml:space="preserve">2）决策人员--多人决策的应对策略</w:t>
      </w:r>
    </w:p>
    <w:p>
      <w:pPr>
        <w:rPr/>
      </w:pPr>
      <w:r>
        <w:rPr>
          <w:rFonts w:ascii="微软雅黑" w:eastAsia="微软雅黑" w:hAnsi="微软雅黑" w:cs="微软雅黑"/>
          <w:sz w:val="20"/>
        </w:rPr>
        <w:t xml:space="preserve">单人卡点决策的对应思路</w:t>
      </w:r>
    </w:p>
    <w:p>
      <w:pPr>
        <w:rPr/>
      </w:pPr>
      <w:r>
        <w:rPr>
          <w:rFonts w:ascii="微软雅黑" w:eastAsia="微软雅黑" w:hAnsi="微软雅黑" w:cs="微软雅黑"/>
          <w:sz w:val="20"/>
        </w:rPr>
        <w:t xml:space="preserve">潜在变量因素防患准备</w:t>
      </w:r>
    </w:p>
    <w:p>
      <w:pPr>
        <w:rPr/>
      </w:pPr>
      <w:r>
        <w:rPr>
          <w:rFonts w:ascii="微软雅黑" w:eastAsia="微软雅黑" w:hAnsi="微软雅黑" w:cs="微软雅黑"/>
          <w:sz w:val="20"/>
        </w:rPr>
        <w:t xml:space="preserve">◆僵局突破科学链路逻辑设计</w:t>
      </w:r>
    </w:p>
    <w:p>
      <w:pPr>
        <w:rPr/>
      </w:pPr>
      <w:r>
        <w:rPr>
          <w:rFonts w:ascii="微软雅黑" w:eastAsia="微软雅黑" w:hAnsi="微软雅黑" w:cs="微软雅黑"/>
          <w:sz w:val="20"/>
        </w:rPr>
        <w:t xml:space="preserve">◎僵局-双维视角动机解析</w:t>
      </w:r>
    </w:p>
    <w:p>
      <w:pPr>
        <w:rPr/>
      </w:pPr>
      <w:r>
        <w:rPr>
          <w:rFonts w:ascii="微软雅黑" w:eastAsia="微软雅黑" w:hAnsi="微软雅黑" w:cs="微软雅黑"/>
          <w:sz w:val="20"/>
        </w:rPr>
        <w:t xml:space="preserve">◎真、假僵局识别与应对</w:t>
      </w:r>
    </w:p>
    <w:p>
      <w:pPr>
        <w:rPr/>
      </w:pPr>
      <w:r>
        <w:rPr>
          <w:rFonts w:ascii="微软雅黑" w:eastAsia="微软雅黑" w:hAnsi="微软雅黑" w:cs="微软雅黑"/>
          <w:sz w:val="20"/>
        </w:rPr>
        <w:t xml:space="preserve">假僵局判断因素指导--反制策略</w:t>
      </w:r>
    </w:p>
    <w:p>
      <w:pPr>
        <w:rPr/>
      </w:pPr>
      <w:r>
        <w:rPr>
          <w:rFonts w:ascii="微软雅黑" w:eastAsia="微软雅黑" w:hAnsi="微软雅黑" w:cs="微软雅黑"/>
          <w:sz w:val="20"/>
        </w:rPr>
        <w:t xml:space="preserve">套路反压-筹码夹击＋焦虑轰炸</w:t>
      </w:r>
    </w:p>
    <w:p>
      <w:pPr>
        <w:rPr/>
      </w:pPr>
      <w:r>
        <w:rPr>
          <w:rFonts w:ascii="微软雅黑" w:eastAsia="微软雅黑" w:hAnsi="微软雅黑" w:cs="微软雅黑"/>
          <w:sz w:val="20"/>
        </w:rPr>
        <w:t xml:space="preserve">真僵局判断因素指导--控制策略（外化问题技术、再约见方案）</w:t>
      </w:r>
    </w:p>
    <w:p>
      <w:pPr>
        <w:rPr/>
      </w:pPr>
      <w:r>
        <w:rPr>
          <w:rFonts w:ascii="微软雅黑" w:eastAsia="微软雅黑" w:hAnsi="微软雅黑" w:cs="微软雅黑"/>
          <w:sz w:val="20"/>
        </w:rPr>
        <w:t xml:space="preserve">成果输出</w:t>
      </w:r>
    </w:p>
    <w:p>
      <w:pPr>
        <w:rPr/>
      </w:pPr>
      <w:r>
        <w:rPr>
          <w:rFonts w:ascii="微软雅黑" w:eastAsia="微软雅黑" w:hAnsi="微软雅黑" w:cs="微软雅黑"/>
          <w:sz w:val="20"/>
        </w:rPr>
        <w:t xml:space="preserve">定制1v1谈判手册</w:t>
      </w:r>
    </w:p>
    <w:p>
      <w:pPr>
        <w:rPr/>
      </w:pPr>
      <w:r>
        <w:rPr>
          <w:rFonts w:ascii="微软雅黑" w:eastAsia="微软雅黑" w:hAnsi="微软雅黑" w:cs="微软雅黑"/>
          <w:sz w:val="20"/>
        </w:rPr>
        <w:t xml:space="preserve">磋商篇完成</w:t>
      </w:r>
    </w:p>
    <w:p>
      <w:pPr>
        <w:rPr/>
      </w:pPr>
      <w:r>
        <w:rPr>
          <w:rFonts w:ascii="微软雅黑" w:eastAsia="微软雅黑" w:hAnsi="微软雅黑" w:cs="微软雅黑"/>
          <w:sz w:val="20"/>
        </w:rPr>
        <w:t xml:space="preserve">细节要点逻辑与谈判步骤素材库基础版完成</w:t>
      </w:r>
    </w:p>
    <w:p>
      <w:pPr>
        <w:rPr/>
      </w:pPr>
      <w:r>
        <w:rPr>
          <w:rFonts w:ascii="微软雅黑" w:eastAsia="微软雅黑" w:hAnsi="微软雅黑" w:cs="微软雅黑"/>
          <w:sz w:val="20"/>
        </w:rPr>
        <w:t xml:space="preserve">1)成熟讨价还价方案逻辑系统（同步匹配大量讨价还价灵动应对筹码素材方案）</w:t>
      </w:r>
    </w:p>
    <w:p>
      <w:pPr>
        <w:rPr/>
      </w:pPr>
      <w:r>
        <w:rPr>
          <w:rFonts w:ascii="微软雅黑" w:eastAsia="微软雅黑" w:hAnsi="微软雅黑" w:cs="微软雅黑"/>
          <w:sz w:val="20"/>
        </w:rPr>
        <w:t xml:space="preserve">2)多套决策影响策略</w:t>
      </w:r>
    </w:p>
    <w:p>
      <w:pPr>
        <w:rPr/>
      </w:pPr>
      <w:r>
        <w:rPr>
          <w:rFonts w:ascii="微软雅黑" w:eastAsia="微软雅黑" w:hAnsi="微软雅黑" w:cs="微软雅黑"/>
          <w:sz w:val="20"/>
        </w:rPr>
        <w:t xml:space="preserve">3)僵局制约策略</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单元四：双赢谈判之“成果篇”</w:t>
      </w:r>
    </w:p>
    <w:p>
      <w:pPr>
        <w:rPr/>
      </w:pPr>
      <w:r>
        <w:rPr>
          <w:rFonts w:ascii="微软雅黑" w:eastAsia="微软雅黑" w:hAnsi="微软雅黑" w:cs="微软雅黑"/>
          <w:sz w:val="20"/>
        </w:rPr>
        <w:t xml:space="preserve">◆缔结签约细节颠覆成果的关键环节</w:t>
      </w:r>
    </w:p>
    <w:p>
      <w:pPr>
        <w:rPr/>
      </w:pPr>
      <w:r>
        <w:rPr>
          <w:rFonts w:ascii="微软雅黑" w:eastAsia="微软雅黑" w:hAnsi="微软雅黑" w:cs="微软雅黑"/>
          <w:sz w:val="20"/>
        </w:rPr>
        <w:t xml:space="preserve">◎达成谈判成果情绪原则</w:t>
      </w:r>
    </w:p>
    <w:p>
      <w:pPr>
        <w:rPr/>
      </w:pPr>
      <w:r>
        <w:rPr>
          <w:rFonts w:ascii="微软雅黑" w:eastAsia="微软雅黑" w:hAnsi="微软雅黑" w:cs="微软雅黑"/>
          <w:sz w:val="20"/>
        </w:rPr>
        <w:t xml:space="preserve">◎结束话术模板逻辑指导</w:t>
      </w:r>
    </w:p>
    <w:p>
      <w:pPr>
        <w:rPr/>
      </w:pPr>
      <w:r>
        <w:rPr>
          <w:rFonts w:ascii="微软雅黑" w:eastAsia="微软雅黑" w:hAnsi="微软雅黑" w:cs="微软雅黑"/>
          <w:sz w:val="20"/>
        </w:rPr>
        <w:t xml:space="preserve">◎必备收尾要求</w:t>
      </w:r>
    </w:p>
    <w:p>
      <w:pPr>
        <w:rPr/>
      </w:pPr>
      <w:r>
        <w:rPr>
          <w:rFonts w:ascii="微软雅黑" w:eastAsia="微软雅黑" w:hAnsi="微软雅黑" w:cs="微软雅黑"/>
          <w:sz w:val="20"/>
        </w:rPr>
        <w:t xml:space="preserve">◎离场态度原则</w:t>
      </w:r>
    </w:p>
    <w:p>
      <w:pPr>
        <w:rPr/>
      </w:pPr>
      <w:r>
        <w:rPr>
          <w:rFonts w:ascii="微软雅黑" w:eastAsia="微软雅黑" w:hAnsi="微软雅黑" w:cs="微软雅黑"/>
          <w:sz w:val="20"/>
        </w:rPr>
        <w:t xml:space="preserve">◆合作关系维系管理</w:t>
      </w:r>
    </w:p>
    <w:p>
      <w:pPr>
        <w:rPr/>
      </w:pPr>
      <w:r>
        <w:rPr>
          <w:rFonts w:ascii="微软雅黑" w:eastAsia="微软雅黑" w:hAnsi="微软雅黑" w:cs="微软雅黑"/>
          <w:sz w:val="20"/>
        </w:rPr>
        <w:t xml:space="preserve">◎谈判成功是真正合作的开始</w:t>
      </w:r>
    </w:p>
    <w:p>
      <w:pPr>
        <w:rPr/>
      </w:pPr>
      <w:r>
        <w:rPr>
          <w:rFonts w:ascii="微软雅黑" w:eastAsia="微软雅黑" w:hAnsi="微软雅黑" w:cs="微软雅黑"/>
          <w:sz w:val="20"/>
        </w:rPr>
        <w:t xml:space="preserve">◎高段位合作关系管理建议</w:t>
      </w:r>
    </w:p>
    <w:p>
      <w:pPr>
        <w:rPr/>
      </w:pPr>
      <w:r>
        <w:rPr>
          <w:rFonts w:ascii="微软雅黑" w:eastAsia="微软雅黑" w:hAnsi="微软雅黑" w:cs="微软雅黑"/>
          <w:sz w:val="20"/>
        </w:rPr>
        <w:t xml:space="preserve">1）走出“交易”思维，战略双赢发展</w:t>
      </w:r>
    </w:p>
    <w:p>
      <w:pPr>
        <w:rPr/>
      </w:pPr>
      <w:r>
        <w:rPr>
          <w:rFonts w:ascii="微软雅黑" w:eastAsia="微软雅黑" w:hAnsi="微软雅黑" w:cs="微软雅黑"/>
          <w:sz w:val="20"/>
        </w:rPr>
        <w:t xml:space="preserve">2）用高段位人性底层逻辑，绑定一生合作</w:t>
      </w:r>
    </w:p>
    <w:p>
      <w:pPr>
        <w:rPr/>
      </w:pPr>
      <w:r>
        <w:rPr>
          <w:rFonts w:ascii="微软雅黑" w:eastAsia="微软雅黑" w:hAnsi="微软雅黑" w:cs="微软雅黑"/>
          <w:sz w:val="20"/>
        </w:rPr>
        <w:t xml:space="preserve">成果输出</w:t>
      </w:r>
    </w:p>
    <w:p>
      <w:pPr>
        <w:rPr/>
      </w:pPr>
      <w:r>
        <w:rPr>
          <w:rFonts w:ascii="微软雅黑" w:eastAsia="微软雅黑" w:hAnsi="微软雅黑" w:cs="微软雅黑"/>
          <w:sz w:val="20"/>
        </w:rPr>
        <w:t xml:space="preserve">1v1谈判手册完稿</w:t>
      </w:r>
    </w:p>
    <w:p>
      <w:pPr>
        <w:rPr/>
      </w:pPr>
      <w:r>
        <w:rPr>
          <w:rFonts w:ascii="微软雅黑" w:eastAsia="微软雅黑" w:hAnsi="微软雅黑" w:cs="微软雅黑"/>
          <w:sz w:val="20"/>
        </w:rPr>
        <w:t xml:space="preserve">成果篇完成</w:t>
      </w:r>
    </w:p>
    <w:p>
      <w:pPr>
        <w:rPr/>
      </w:pPr>
      <w:r>
        <w:rPr>
          <w:rFonts w:ascii="微软雅黑" w:eastAsia="微软雅黑" w:hAnsi="微软雅黑" w:cs="微软雅黑"/>
          <w:sz w:val="20"/>
        </w:rPr>
        <w:t xml:space="preserve">细节要点逻辑与谈判步骤素材库基础版完成</w:t>
      </w:r>
    </w:p>
    <w:p>
      <w:pPr>
        <w:rPr/>
      </w:pPr>
      <w:r>
        <w:rPr>
          <w:rFonts w:ascii="微软雅黑" w:eastAsia="微软雅黑" w:hAnsi="微软雅黑" w:cs="微软雅黑"/>
          <w:sz w:val="20"/>
        </w:rPr>
        <w:t xml:space="preserve">1)签约管理细节梳理（适合本人风格的结尾人设风格管理）</w:t>
      </w:r>
    </w:p>
    <w:p>
      <w:pPr>
        <w:rPr/>
      </w:pPr>
      <w:r>
        <w:rPr>
          <w:rFonts w:ascii="微软雅黑" w:eastAsia="微软雅黑" w:hAnsi="微软雅黑" w:cs="微软雅黑"/>
          <w:sz w:val="20"/>
        </w:rPr>
        <w:t xml:space="preserve">2)关系维系管理系统建立</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课后实践指导（资料包系统赋能）</w:t>
      </w:r>
    </w:p>
    <w:p>
      <w:pPr>
        <w:rPr/>
      </w:pPr>
      <w:r>
        <w:rPr>
          <w:rFonts w:ascii="微软雅黑" w:eastAsia="微软雅黑" w:hAnsi="微软雅黑" w:cs="微软雅黑"/>
          <w:sz w:val="20"/>
        </w:rPr>
        <w:t xml:space="preserve">▲谈判手册-1.0版本迭代升级指导建议（现场说明）</w:t>
      </w:r>
    </w:p>
    <w:p>
      <w:pPr>
        <w:rPr/>
      </w:pPr>
      <w:r>
        <w:rPr>
          <w:rFonts w:ascii="微软雅黑" w:eastAsia="微软雅黑" w:hAnsi="微软雅黑" w:cs="微软雅黑"/>
          <w:sz w:val="20"/>
        </w:rPr>
        <w:t xml:space="preserve">▲细化版讲师讲义＋落地应用工具包系统（电子版资料包）</w:t>
      </w:r>
    </w:p>
    <w:p>
      <w:pPr>
        <w:rPr/>
      </w:pPr>
      <w:r>
        <w:rPr>
          <w:rFonts w:ascii="微软雅黑" w:eastAsia="微软雅黑" w:hAnsi="微软雅黑" w:cs="微软雅黑"/>
          <w:sz w:val="20"/>
        </w:rPr>
        <w:t xml:space="preserve">▲课后实践指导手册模板（电子版资料包）</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讲师介绍/Lecturer</w:t>
      </w:r>
      <w:r/>
    </w:p>
    <w:p>
      <w:pPr>
        <w:rPr/>
      </w:pPr>
      <w:r>
        <w:rPr>
          <w:rFonts w:ascii="微软雅黑" w:eastAsia="微软雅黑" w:hAnsi="微软雅黑" w:cs="微软雅黑"/>
          <w:b/>
          <w:color w:val="000000"/>
          <w:sz w:val="22"/>
        </w:rPr>
        <w:t xml:space="preserve">牟老师</w:t>
      </w:r>
    </w:p>
    <w:p>
      <w:pPr>
        <w:rPr/>
      </w:pPr>
      <w:r>
        <w:rPr>
          <w:rFonts w:ascii="微软雅黑" w:eastAsia="微软雅黑" w:hAnsi="微软雅黑" w:cs="微软雅黑"/>
          <w:sz w:val="20"/>
        </w:rPr>
        <w:t xml:space="preserve">· 21年培训咨询实战工作经验</w:t>
      </w:r>
    </w:p>
    <w:p>
      <w:pPr>
        <w:rPr/>
      </w:pPr>
      <w:r>
        <w:rPr>
          <w:rFonts w:ascii="微软雅黑" w:eastAsia="微软雅黑" w:hAnsi="微软雅黑" w:cs="微软雅黑"/>
          <w:sz w:val="20"/>
        </w:rPr>
        <w:t xml:space="preserve">· 10年独立操盘咨询项目执行经验</w:t>
      </w:r>
    </w:p>
    <w:p>
      <w:pPr>
        <w:rPr/>
      </w:pPr>
      <w:r>
        <w:rPr>
          <w:rFonts w:ascii="微软雅黑" w:eastAsia="微软雅黑" w:hAnsi="微软雅黑" w:cs="微软雅黑"/>
          <w:sz w:val="20"/>
        </w:rPr>
        <w:t xml:space="preserve">· 个人独家版权工具系统，颠覆传统视角</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个人资历：</w:t>
      </w:r>
    </w:p>
    <w:p>
      <w:pPr>
        <w:rPr/>
      </w:pPr>
      <w:r>
        <w:rPr>
          <w:rFonts w:ascii="微软雅黑" w:eastAsia="微软雅黑" w:hAnsi="微软雅黑" w:cs="微软雅黑"/>
          <w:sz w:val="20"/>
        </w:rPr>
        <w:t xml:space="preserve">· AACTP国际注册培训师</w:t>
      </w:r>
    </w:p>
    <w:p>
      <w:pPr>
        <w:rPr/>
      </w:pPr>
      <w:r>
        <w:rPr>
          <w:rFonts w:ascii="微软雅黑" w:eastAsia="微软雅黑" w:hAnsi="微软雅黑" w:cs="微软雅黑"/>
          <w:sz w:val="20"/>
        </w:rPr>
        <w:t xml:space="preserve">· 国家二级心理咨询师</w:t>
        <w:tab/>
      </w:r>
    </w:p>
    <w:p>
      <w:pPr>
        <w:rPr/>
      </w:pPr>
      <w:r>
        <w:rPr>
          <w:rFonts w:ascii="微软雅黑" w:eastAsia="微软雅黑" w:hAnsi="微软雅黑" w:cs="微软雅黑"/>
          <w:sz w:val="20"/>
        </w:rPr>
        <w:t xml:space="preserve">· 应用心理学实战落地专家</w:t>
      </w:r>
    </w:p>
    <w:p>
      <w:pPr>
        <w:rPr/>
      </w:pPr>
      <w:r>
        <w:rPr>
          <w:rFonts w:ascii="微软雅黑" w:eastAsia="微软雅黑" w:hAnsi="微软雅黑" w:cs="微软雅黑"/>
          <w:sz w:val="20"/>
        </w:rPr>
        <w:t xml:space="preserve">· 中国企业教育“专业十佳培训师”</w:t>
      </w:r>
    </w:p>
    <w:p>
      <w:pPr>
        <w:rPr/>
      </w:pPr>
      <w:r>
        <w:rPr>
          <w:rFonts w:ascii="微软雅黑" w:eastAsia="微软雅黑" w:hAnsi="微软雅黑" w:cs="微软雅黑"/>
          <w:sz w:val="20"/>
        </w:rPr>
        <w:t xml:space="preserve">· 中国企业培训“首选培训师100强”</w:t>
      </w:r>
    </w:p>
    <w:p>
      <w:pPr>
        <w:rPr/>
      </w:pPr>
      <w:r>
        <w:rPr>
          <w:rFonts w:ascii="微软雅黑" w:eastAsia="微软雅黑" w:hAnsi="微软雅黑" w:cs="微软雅黑"/>
          <w:sz w:val="20"/>
        </w:rPr>
        <w:t xml:space="preserve">· 央视、凤凰卫视、赢家大讲堂、聚邦传媒、中和黄埔成长吧等多家黄金媒体平台合作讲师</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代表项目：</w:t>
      </w:r>
    </w:p>
    <w:p>
      <w:pPr>
        <w:rPr/>
      </w:pPr>
      <w:r>
        <w:rPr>
          <w:rFonts w:ascii="微软雅黑" w:eastAsia="微软雅黑" w:hAnsi="微软雅黑" w:cs="微软雅黑"/>
          <w:sz w:val="20"/>
        </w:rPr>
        <w:t xml:space="preserve">“G20峰会接待定制项目—优质服务体验提升落地督导”总负责人（培训＋现场督导＋团队管理指导），因项目超好口碑在行业广泛传播，后续主动找来行内转介绍客户连续排挡2年多……</w:t>
      </w:r>
    </w:p>
    <w:p>
      <w:pPr>
        <w:rPr/>
      </w:pPr>
      <w:r>
        <w:rPr>
          <w:rFonts w:ascii="微软雅黑" w:eastAsia="微软雅黑" w:hAnsi="微软雅黑" w:cs="微软雅黑"/>
          <w:sz w:val="20"/>
        </w:rPr>
        <w:t xml:space="preserve">“奔驰CAM客户权益官”客诉管理系统（大赛主点评＋痛点问题解决强化训练营＋全国经销商系统岗位轮训＋内部岗位必修定制网课）全链条辅导老师</w:t>
      </w:r>
    </w:p>
    <w:p>
      <w:pPr>
        <w:rPr/>
      </w:pPr>
      <w:r>
        <w:rPr>
          <w:rFonts w:ascii="微软雅黑" w:eastAsia="微软雅黑" w:hAnsi="微软雅黑" w:cs="微软雅黑"/>
          <w:sz w:val="20"/>
        </w:rPr>
        <w:t xml:space="preserve">“卓越领导力◆八大工作场景实战落地管理”落地督导项目—10期轮训后，因效果好评反响巨大，在经销商多次申请下，品牌方又特别增加经费—加购了4期课程；后又因多位经销商申请学习，品牌方又在第二年，为该课程2次立项，又安排了8期课程轮训。</w:t>
      </w:r>
    </w:p>
    <w:p>
      <w:pPr>
        <w:rPr/>
      </w:pPr>
      <w:r>
        <w:rPr>
          <w:rFonts w:ascii="微软雅黑" w:eastAsia="微软雅黑" w:hAnsi="微软雅黑" w:cs="微软雅黑"/>
          <w:sz w:val="20"/>
        </w:rPr>
        <w:t xml:space="preserve">“中信银行两高人才轮训项目”—《情绪压力管理》救场老师（在轮训项目先后调换了多位老师客户不满背景下，成功救场，得到客户高度认可好评，直接确定为后续轮训课程主讲老师，也因此课程合作影响，各地分行随后陆续邀约合作，从此开始了与中信银行多年系列合作—各地分行合作代表：广州、兰州、厦门、大连、长春、沈阳、承德、青岛、石家庄、济南、天津……等）</w:t>
      </w:r>
    </w:p>
    <w:p>
      <w:pPr>
        <w:rPr/>
      </w:pPr>
      <w:r>
        <w:rPr>
          <w:rFonts w:ascii="微软雅黑" w:eastAsia="微软雅黑" w:hAnsi="微软雅黑" w:cs="微软雅黑"/>
          <w:sz w:val="20"/>
        </w:rPr>
        <w:t xml:space="preserve">“结果导向的落地管理”团队管理课程，多个行业客户重复采购，线下授课百场以上……</w:t>
      </w:r>
    </w:p>
    <w:p>
      <w:pPr>
        <w:rPr/>
      </w:pPr>
      <w:r>
        <w:rPr>
          <w:rFonts w:ascii="微软雅黑" w:eastAsia="微软雅黑" w:hAnsi="微软雅黑" w:cs="微软雅黑"/>
          <w:sz w:val="20"/>
        </w:rPr>
        <w:t xml:space="preserve">“高效团队◆业绩赋能”落地督导项目（原投标公司竞标落选，因客户指定必须由牟老师授课），中标公司不得通过原投标公司与老师合作完成项目轮训；首期试讲课—获得全场满分超高好评。</w:t>
      </w:r>
    </w:p>
    <w:p>
      <w:pPr>
        <w:rPr/>
      </w:pPr>
      <w:r>
        <w:rPr>
          <w:rFonts w:ascii="微软雅黑" w:eastAsia="微软雅黑" w:hAnsi="微软雅黑" w:cs="微软雅黑"/>
          <w:sz w:val="20"/>
        </w:rPr>
        <w:t xml:space="preserve">老师长期为金融证券、保险、汽车、能源重工、医疗行业进行培训授课，专注管理咨询培训21年。既有系统专业培训师成长经历，也有丰富企业实践职场经历；既有成熟课程现场授课经验，又有长达10年独立操盘咨询项目执行经验。</w:t>
      </w:r>
    </w:p>
    <w:p>
      <w:pPr>
        <w:rPr/>
      </w:pPr>
      <w:r>
        <w:rPr>
          <w:rFonts w:ascii="微软雅黑" w:eastAsia="微软雅黑" w:hAnsi="微软雅黑" w:cs="微软雅黑"/>
          <w:sz w:val="20"/>
        </w:rPr>
        <w:t xml:space="preserve">多次亲身参与实践督导工作，亲自操盘过多个原创督导项目，项目中创建了多个具备个人独特风格的督导落地方法系统。还应问题解决需求角度，以心理学为人性互动影响基石、以Ai科技赋能工作提效升质，研发大量原创高落地指导系统，，参训学习企业客户无不表示“被大大刷新视角，简化了问题解决，并能快速有效产生大量成果输出。”所以，老师课程经常被贴上“救场老师”“最实用课程老师”“高返聘”等多个超高培训效果评价标签。</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最新定制热需课程</w:t>
      </w:r>
    </w:p>
    <w:p>
      <w:pPr>
        <w:rPr/>
      </w:pPr>
      <w:r>
        <w:rPr>
          <w:rFonts w:ascii="微软雅黑" w:eastAsia="微软雅黑" w:hAnsi="微软雅黑" w:cs="微软雅黑"/>
          <w:sz w:val="20"/>
        </w:rPr>
        <w:t xml:space="preserve">《士气赋能—积极心态与结果落地执行保障能力训练》—沉浸式体验训练课</w:t>
      </w:r>
    </w:p>
    <w:p>
      <w:pPr>
        <w:rPr/>
      </w:pPr>
      <w:r>
        <w:rPr>
          <w:rFonts w:ascii="微软雅黑" w:eastAsia="微软雅黑" w:hAnsi="微软雅黑" w:cs="微软雅黑"/>
          <w:sz w:val="20"/>
        </w:rPr>
        <w:t xml:space="preserve">《责任胜于能力》—实用1天版精品管理课（职场关键沟通岗能力必备）</w:t>
      </w:r>
    </w:p>
    <w:p>
      <w:pPr>
        <w:rPr/>
      </w:pPr>
      <w:r>
        <w:rPr>
          <w:rFonts w:ascii="微软雅黑" w:eastAsia="微软雅黑" w:hAnsi="微软雅黑" w:cs="微软雅黑"/>
          <w:sz w:val="20"/>
        </w:rPr>
        <w:t xml:space="preserve">《精英人才—“核心三力”特训工作坊》—2小时线上讲授＋6小时线下训练</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咨询服务</w:t>
      </w:r>
    </w:p>
    <w:p>
      <w:pPr>
        <w:rPr/>
      </w:pPr>
      <w:r>
        <w:rPr>
          <w:rFonts w:ascii="微软雅黑" w:eastAsia="微软雅黑" w:hAnsi="微软雅黑" w:cs="微软雅黑"/>
          <w:sz w:val="20"/>
        </w:rPr>
        <w:t xml:space="preserve">《“高情商领导力＋谈判”指导教练》—个案咨询项目年卡</w:t>
      </w:r>
    </w:p>
    <w:p>
      <w:pPr>
        <w:rPr/>
      </w:pPr>
      <w:r>
        <w:rPr>
          <w:rFonts w:ascii="微软雅黑" w:eastAsia="微软雅黑" w:hAnsi="微软雅黑" w:cs="微软雅黑"/>
          <w:sz w:val="20"/>
        </w:rPr>
        <w:t xml:space="preserve">《职场情压与心理健康管理》—微咨询（1天内训＋21天跟踪辅导）</w:t>
      </w:r>
    </w:p>
    <w:p>
      <w:pPr>
        <w:rPr/>
      </w:pPr>
      <w:r>
        <w:rPr>
          <w:rFonts w:ascii="微软雅黑" w:eastAsia="微软雅黑" w:hAnsi="微软雅黑" w:cs="微软雅黑"/>
          <w:sz w:val="20"/>
        </w:rPr>
        <w:t xml:space="preserve">《驾驭式—职场高效沟通与商务谈判—实战工作坊》—3天（演讲、述职、汇报、答辩、谈判等）</w:t>
      </w:r>
    </w:p>
    <w:p>
      <w:pPr>
        <w:rPr/>
      </w:pPr>
      <w:r>
        <w:rPr>
          <w:rFonts w:ascii="微软雅黑" w:eastAsia="微软雅黑" w:hAnsi="微软雅黑" w:cs="微软雅黑"/>
          <w:sz w:val="20"/>
        </w:rPr>
        <w:t xml:space="preserve">《职场效能沟通之“报联商”》实用1天版精品管理课（职场关键沟通岗能力必备）</w:t>
      </w:r>
    </w:p>
    <w:p>
      <w:pPr>
        <w:rPr/>
      </w:pPr>
      <w:r>
        <w:rPr>
          <w:rFonts w:ascii="微软雅黑" w:eastAsia="微软雅黑" w:hAnsi="微软雅黑" w:cs="微软雅黑"/>
          <w:sz w:val="20"/>
        </w:rPr>
        <w:t xml:space="preserve">《高效管理沟通》</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品牌内训课程</w:t>
      </w:r>
    </w:p>
    <w:p>
      <w:pPr>
        <w:rPr/>
      </w:pPr>
      <w:r>
        <w:rPr>
          <w:rFonts w:ascii="微软雅黑" w:eastAsia="微软雅黑" w:hAnsi="微软雅黑" w:cs="微软雅黑"/>
          <w:sz w:val="20"/>
        </w:rPr>
        <w:t xml:space="preserve">《双赢沟通谈判—实战共创课堂》—营销谈判、客诉谈判、经销商谈判、商务合作谈判等</w:t>
      </w:r>
    </w:p>
    <w:p>
      <w:pPr>
        <w:rPr/>
      </w:pPr>
      <w:r>
        <w:rPr>
          <w:rFonts w:ascii="微软雅黑" w:eastAsia="微软雅黑" w:hAnsi="微软雅黑" w:cs="微软雅黑"/>
          <w:sz w:val="20"/>
        </w:rPr>
        <w:t xml:space="preserve">《双赢式—职场冲突化解与高效合作沟通》—中高层专业问题解决必备能力系统</w:t>
      </w:r>
    </w:p>
    <w:p>
      <w:pPr>
        <w:rPr/>
      </w:pPr>
      <w:r>
        <w:rPr>
          <w:rFonts w:ascii="微软雅黑" w:eastAsia="微软雅黑" w:hAnsi="微软雅黑" w:cs="微软雅黑"/>
          <w:sz w:val="20"/>
        </w:rPr>
        <w:t xml:space="preserve">《客户价值呈现与服务体验升级思考》—未来企业竞争力核心（情感3.0服务时代—企业必学课）</w:t>
      </w:r>
    </w:p>
    <w:p>
      <w:pPr>
        <w:rPr/>
      </w:pPr>
      <w:r>
        <w:rPr>
          <w:rFonts w:ascii="微软雅黑" w:eastAsia="微软雅黑" w:hAnsi="微软雅黑" w:cs="微软雅黑"/>
          <w:sz w:val="20"/>
        </w:rPr>
        <w:t xml:space="preserve">《实战落地式◆情商领导力》—中高层结果执行力保障</w:t>
      </w:r>
    </w:p>
    <w:p>
      <w:pPr>
        <w:rPr/>
      </w:pPr>
      <w:r>
        <w:rPr>
          <w:rFonts w:ascii="微软雅黑" w:eastAsia="微软雅黑" w:hAnsi="微软雅黑" w:cs="微软雅黑"/>
          <w:sz w:val="20"/>
        </w:rPr>
        <w:t xml:space="preserve">《AI思维赋能：沟通谈判36计—快速解决职场难题》—职场全员必修课    </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心理学赋能—系列课程</w:t>
      </w:r>
    </w:p>
    <w:p>
      <w:pPr>
        <w:rPr/>
      </w:pPr>
      <w:r>
        <w:rPr>
          <w:rFonts w:ascii="微软雅黑" w:eastAsia="微软雅黑" w:hAnsi="微软雅黑" w:cs="微软雅黑"/>
          <w:sz w:val="20"/>
        </w:rPr>
        <w:t xml:space="preserve">《职场情压与心理健康管理》</w:t>
      </w:r>
    </w:p>
    <w:p>
      <w:pPr>
        <w:rPr/>
      </w:pPr>
      <w:r>
        <w:rPr>
          <w:rFonts w:ascii="微软雅黑" w:eastAsia="微软雅黑" w:hAnsi="微软雅黑" w:cs="微软雅黑"/>
          <w:sz w:val="20"/>
        </w:rPr>
        <w:t xml:space="preserve">《逆商—在工作困境中打造绝地反击的能力》</w:t>
      </w:r>
    </w:p>
    <w:p>
      <w:pPr>
        <w:rPr/>
      </w:pPr>
      <w:r>
        <w:rPr>
          <w:rFonts w:ascii="微软雅黑" w:eastAsia="微软雅黑" w:hAnsi="微软雅黑" w:cs="微软雅黑"/>
          <w:sz w:val="20"/>
        </w:rPr>
        <w:t xml:space="preserve">《基于心理学的—柜面沟通技术》</w:t>
      </w:r>
    </w:p>
    <w:p>
      <w:pPr>
        <w:rPr/>
      </w:pPr>
      <w:r>
        <w:rPr>
          <w:rFonts w:ascii="微软雅黑" w:eastAsia="微软雅黑" w:hAnsi="微软雅黑" w:cs="微软雅黑"/>
          <w:sz w:val="20"/>
        </w:rPr>
        <w:t xml:space="preserve">《心理学角度的—客服专业工作能力塑造》</w:t>
      </w:r>
    </w:p>
    <w:p>
      <w:pPr>
        <w:rPr/>
      </w:pPr>
      <w:r>
        <w:rPr>
          <w:rFonts w:ascii="微软雅黑" w:eastAsia="微软雅黑" w:hAnsi="微软雅黑" w:cs="微软雅黑"/>
          <w:sz w:val="20"/>
        </w:rPr>
        <w:t xml:space="preserve">《投诉心理疏导与疑难客户案例解析》  </w:t>
      </w:r>
    </w:p>
    <w:p>
      <w:pPr>
        <w:rPr/>
      </w:pPr>
      <w:r>
        <w:rPr>
          <w:rFonts w:ascii="微软雅黑" w:eastAsia="微软雅黑" w:hAnsi="微软雅黑" w:cs="微软雅黑"/>
          <w:sz w:val="20"/>
        </w:rPr>
        <w:t xml:space="preserve">《心理学角度客户关系管理与客户忠诚满意度经营》 </w:t>
      </w:r>
    </w:p>
    <w:p>
      <w:pPr>
        <w:rPr/>
      </w:pPr>
      <w:r>
        <w:rPr>
          <w:rFonts w:ascii="微软雅黑" w:eastAsia="微软雅黑" w:hAnsi="微软雅黑" w:cs="微软雅黑"/>
          <w:sz w:val="20"/>
        </w:rPr>
        <w:t xml:space="preserve">《人文关怀式营销服务与健康正能心理管理》</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专业谈判沟通—系列课程</w:t>
      </w:r>
    </w:p>
    <w:p>
      <w:pPr>
        <w:rPr/>
      </w:pPr>
      <w:r>
        <w:rPr>
          <w:rFonts w:ascii="微软雅黑" w:eastAsia="微软雅黑" w:hAnsi="微软雅黑" w:cs="微软雅黑"/>
          <w:sz w:val="20"/>
        </w:rPr>
        <w:t xml:space="preserve">《销售谈判◆绩效提升助力系统》                 </w:t>
      </w:r>
    </w:p>
    <w:p>
      <w:pPr>
        <w:rPr/>
      </w:pPr>
      <w:r>
        <w:rPr>
          <w:rFonts w:ascii="微软雅黑" w:eastAsia="微软雅黑" w:hAnsi="微软雅黑" w:cs="微软雅黑"/>
          <w:sz w:val="20"/>
        </w:rPr>
        <w:t xml:space="preserve">《顾问式销售—7步攻单谈判》                    </w:t>
      </w:r>
    </w:p>
    <w:p>
      <w:pPr>
        <w:rPr/>
      </w:pPr>
      <w:r>
        <w:rPr>
          <w:rFonts w:ascii="微软雅黑" w:eastAsia="微软雅黑" w:hAnsi="微软雅黑" w:cs="微软雅黑"/>
          <w:sz w:val="20"/>
        </w:rPr>
        <w:t xml:space="preserve">《专业客诉谈判—关键要点分步细化指导》         </w:t>
      </w:r>
    </w:p>
    <w:p>
      <w:pPr>
        <w:rPr/>
      </w:pPr>
      <w:r>
        <w:rPr>
          <w:rFonts w:ascii="微软雅黑" w:eastAsia="微软雅黑" w:hAnsi="微软雅黑" w:cs="微软雅黑"/>
          <w:sz w:val="20"/>
        </w:rPr>
        <w:t xml:space="preserve">《“人文关怀式”客服沟通—服务管理落地实训》</w:t>
      </w:r>
    </w:p>
    <w:p>
      <w:pPr>
        <w:rPr/>
      </w:pPr>
      <w:r>
        <w:rPr>
          <w:rFonts w:ascii="微软雅黑" w:eastAsia="微软雅黑" w:hAnsi="微软雅黑" w:cs="微软雅黑"/>
          <w:sz w:val="20"/>
        </w:rPr>
        <w:t xml:space="preserve">《呼叫中心—难点沟通对话落地共创课堂》</w:t>
      </w:r>
    </w:p>
    <w:p>
      <w:pPr>
        <w:rPr/>
      </w:pPr>
      <w:r>
        <w:rPr>
          <w:rFonts w:ascii="微软雅黑" w:eastAsia="微软雅黑" w:hAnsi="微软雅黑" w:cs="微软雅黑"/>
          <w:sz w:val="20"/>
        </w:rPr>
        <w:t xml:space="preserve">《管理者沟通技巧与方法◆如何开展谈心谈话》</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综合管理—系列课程</w:t>
      </w:r>
    </w:p>
    <w:p>
      <w:pPr>
        <w:rPr/>
      </w:pPr>
      <w:r>
        <w:rPr>
          <w:rFonts w:ascii="微软雅黑" w:eastAsia="微软雅黑" w:hAnsi="微软雅黑" w:cs="微软雅黑"/>
          <w:sz w:val="20"/>
        </w:rPr>
        <w:t xml:space="preserve">《练好“四力”打胜仗》</w:t>
      </w:r>
    </w:p>
    <w:p>
      <w:pPr>
        <w:rPr/>
      </w:pPr>
      <w:r>
        <w:rPr>
          <w:rFonts w:ascii="微软雅黑" w:eastAsia="微软雅黑" w:hAnsi="微软雅黑" w:cs="微软雅黑"/>
          <w:sz w:val="20"/>
        </w:rPr>
        <w:t xml:space="preserve">《团队管理—系统赋能》</w:t>
      </w:r>
    </w:p>
    <w:p>
      <w:pPr>
        <w:rPr/>
      </w:pPr>
      <w:r>
        <w:rPr>
          <w:rFonts w:ascii="微软雅黑" w:eastAsia="微软雅黑" w:hAnsi="微软雅黑" w:cs="微软雅黑"/>
          <w:sz w:val="20"/>
        </w:rPr>
        <w:t xml:space="preserve">《卓越领导力◆八大工作场景实战落地指导》</w:t>
      </w:r>
    </w:p>
    <w:p>
      <w:pPr>
        <w:rPr/>
      </w:pPr>
      <w:r>
        <w:rPr>
          <w:rFonts w:ascii="微软雅黑" w:eastAsia="微软雅黑" w:hAnsi="微软雅黑" w:cs="微软雅黑"/>
          <w:sz w:val="20"/>
        </w:rPr>
        <w:t xml:space="preserve">《角色转变与职业化塑造》</w:t>
      </w:r>
    </w:p>
    <w:p>
      <w:pPr>
        <w:rPr/>
      </w:pPr>
      <w:r>
        <w:rPr>
          <w:rFonts w:ascii="微软雅黑" w:eastAsia="微软雅黑" w:hAnsi="微软雅黑" w:cs="微软雅黑"/>
          <w:sz w:val="20"/>
        </w:rPr>
        <w:t xml:space="preserve">《客观化思维与高绩效管理》</w:t>
      </w:r>
    </w:p>
    <w:p>
      <w:pPr>
        <w:rPr/>
      </w:pPr>
      <w:r>
        <w:rPr>
          <w:rFonts w:ascii="微软雅黑" w:eastAsia="微软雅黑" w:hAnsi="微软雅黑" w:cs="微软雅黑"/>
          <w:sz w:val="20"/>
        </w:rPr>
        <w:t xml:space="preserve">《精英人才—能力思维培养与全方位工作落地应用》</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授课风格：</w:t>
      </w:r>
    </w:p>
    <w:p>
      <w:pPr>
        <w:rPr/>
      </w:pPr>
      <w:r>
        <w:rPr>
          <w:rFonts w:ascii="微软雅黑" w:eastAsia="微软雅黑" w:hAnsi="微软雅黑" w:cs="微软雅黑"/>
          <w:sz w:val="20"/>
        </w:rPr>
        <w:t xml:space="preserve">擅长以咨询式培训视角，从落地应用产出结果为目标做系统课程设计。</w:t>
      </w:r>
    </w:p>
    <w:p>
      <w:pPr>
        <w:rPr/>
      </w:pPr>
      <w:r>
        <w:rPr>
          <w:rFonts w:ascii="微软雅黑" w:eastAsia="微软雅黑" w:hAnsi="微软雅黑" w:cs="微软雅黑"/>
          <w:sz w:val="20"/>
        </w:rPr>
        <w:t xml:space="preserve">课程紧密结合时代发展，以咨询式结果落地目标视角，做实效性培训辅导，内容实用、落地，配合大量实操做应用带练结合，配合课后练习工具长线后续成长支持，大大促进学习成果转化。</w:t>
      </w:r>
    </w:p>
    <w:p>
      <w:pPr>
        <w:rPr/>
      </w:pPr>
      <w:r>
        <w:rPr>
          <w:rFonts w:ascii="微软雅黑" w:eastAsia="微软雅黑" w:hAnsi="微软雅黑" w:cs="微软雅黑"/>
          <w:sz w:val="20"/>
        </w:rPr>
        <w:t xml:space="preserve">牟老师课堂互动性较强，形式丰富，课堂氛围热烈；注重课程实用度，课中经常以企业自身问题案例结合课堂技巧工具做现场问题解决方案设计、课程当下常常就可以有很多高效成果交付，结合课后作业建议与指导，常常给企业带来很多即时落地改变。</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服务客户：</w:t>
      </w:r>
    </w:p>
    <w:p>
      <w:pPr>
        <w:rPr/>
      </w:pPr>
      <w:r>
        <w:rPr>
          <w:rFonts w:ascii="微软雅黑" w:eastAsia="微软雅黑" w:hAnsi="微软雅黑" w:cs="微软雅黑"/>
          <w:sz w:val="20"/>
        </w:rPr>
        <w:t xml:space="preserve">金融保险：国投集团、湖北消费金融、中信保诚、中国人保、中国人寿、太平保险、平安保险、泰康保险等；中信银行战略合作（总行每年合作、各地分行合作代表：广州、兰州、厦门、大连、长春、沈阳、承德、青岛、石家庄、济南、天津、呼和浩特）、中银富登村镇银行—通过竞标试讲好评后轮训深度合作6年、农业银行多次项目合作（分行代表—珠海、温州、大连、北京、西藏拉萨、克拉玛依、乌鲁木齐）、邮储（沈阳、大连、青海）、招行多次合作（济南、青岛、北京、厦门、东营）、北京工行、建设银行（北京、济南）、中国银行（大连、北京）、北京农商行、北京浦发银行、北京银行、济南交通银行、民生银行（大连、北京）、大连深发展银行、丹东银行（多批轮训）、石家庄银行、郑州银行（多批轮训）、哈尔滨银行、太原银行、农信社（内蒙、兰州）、莱商银行（轮训多批次）、兴业银行、保定银行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煤电重工：北京电力党校（多次合作）、国家电网（合作多系统）—深圳、兰州、大连、朝阳、旅顺、庄河、沈阳、内蒙古……、供电公司（合作多系统）—长海、包头、普兰店、朝阳、长春、甘肃、西安、辽阳……华北电力大学合作多年（甘肃电力合作项目、一般管理干部培训等）、北京国网电力、北京中交重工、三一重工、中国煤炭科工集团、神华集团、焦煤集团、盛源集团、城建集团、鞍钢集团、大连港集团、大连造船厂、大庆油田（复购课程多次）、中石油、中石化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汽车行业：奔驰（多次内部大赛外聘主点评老师、大赛决赛20强选手集训营主讲老师、全国经销商轮训项目、内部岗位必修定制网课）、奥迪（总部公开课、经销商营销管理赋能轮训、4S店销售顾问轮训）、宝马中国.北京总公司（沙龙课、内训课合作）、一汽集团4年轮训项目—1500人百批轮训、一汽系统其他公司（红旗、解放、模具、物流、招商公司……等多次返聘合作）、丰田汽车（成都、长春）、凯翼汽车（多次返聘）、奇瑞大学、双安驾校（深入咨询辅导2年）</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医药行业：杭州G20国际峰会—医疗接待服务定制项目（2000人轮训＋落地辅导）、浙二国际医院全员服务培训（轮训＋落地辅导）、北大人民医院（医患沟通试点项目）、内蒙古宝山医院（全员轮训＋落地辅导）、门头沟医院、健宫医院、北京中日友好医院、北京721航天中心医院、北京307医院、北京平谷区中医院、北京怀柔医院、辽电中心医院、哈尔滨铁力医院、佳木斯宝泉岭医院、辽宁丹东中心医院、北京航天总医院、大连爱德整形、慈铭体检中心、阳光体检中心、修正药业、乐仁堂集团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家居建材：杭州顾家家居，北京居然之家、上海加德尼亚瓷砖（培训＋咨询）、大连LG电子、长春国美电器、青岛海尔集团、美的家中（系列轮训）、中国暖通商学院、格力中央空调、大金空调、日立中央空调、海信中央空调、广东华宁装饰、东莱京东家电、德国领致空气能、鲁尔地暖、威固iQUE居家膜、惠普热壁挂炉、重庆新世纪百货、万家福连锁超市、北京六采同创（3个月培训＋咨询）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其他：北京清华大学总裁班、中国移动、中国联通、搜狐、北京雍和宫、中储粮、茅台酒业、北京楼宇IT公司、天津康师傅、可口可乐、万达集团（多次返聘）、万科集团（多次返聘）、亿达集团（多次返聘）、广东创鸿集团（多次返聘）、上海中南置地、大连软件园（多次返聘合作）、佰盛集团（多次返聘）、北京首发集团（多个轮训项目、内部光盘指定授课老师）、中铁21局、苏嘉杭高速公路、天津高速公路、山西高速公路、首都机场、西安机场、宁夏机场等等</w:t>
      </w:r>
    </w:p>
    <w:p>
      <w:pPr>
        <w:rPr/>
      </w:pPr>
    </w:p>
    <w:p>
      <w:pPr/>
    </w:p>
    <w:sectPr>
      <w:headerReference w:type="default" r:id="rId11"/>
      <w:headerReference w:type="first" r:id="rId12"/>
      <w:type w:val="continuous"/>
      <w:pgSz w:w="11906" w:h="16838" w:orient="portrait"/>
      <w:pgMar w:top="1440" w:right="1080" w:bottom="1440" w:left="1080" w:header="851" w:footer="992" w:gutter="0"/>
      <w:pgNumType w:start="0"/>
      <w:cols w:num="1" w:space="425">
        <w:col w:w="9746" w:space="425"/>
      </w:cols>
      <w:titlePg/>
      <w:docGrid w:type="lines" w:linePitch="312"/>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ourier New">
    <w:panose1 w:val="02070309020205020404"/>
    <w:charset w:val="01"/>
    <w:family w:val="Auto"/>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EFF" w:usb1="C000785B" w:usb2="00000009" w:usb3="00000000" w:csb0="000001FF" w:csb1="00000000"/>
  </w:font>
  <w:font w:name="微软雅黑">
    <w:panose1 w:val="020B0503020204020204"/>
    <w:charset w:val="86"/>
    <w:family w:val="Auto"/>
    <w:pitch w:val="variable"/>
    <w:sig w:usb0="80000287" w:usb1="2ACF3C50" w:usb2="00000016" w:usb3="00000000" w:csb0="0004001F" w:csb1="00000000"/>
  </w:font>
  <w:font w:name="楷体">
    <w:panose1 w:val="02010609060101010101"/>
    <w:charset w:val="86"/>
    <w:family w:val="Auto"/>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single" w:sz="6" w:space="8" w:color="D9D9D9" w:themeColor="background1" w:themeShade="D9"/>
      </w:pBdr>
      <w:rPr>
        <w:rFonts w:hint="eastAsia"/>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none" w:sz="0" w:space="0" w:color="auto"/>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4">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5">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xmlns:w15="http://schemas.microsoft.com/office/word/2012/wordml" mc:Ignorable="w14 w15">
  <w:zoom w:percent="100"/>
  <w:bordersDoNotSurroundFooter/>
  <w:bordersDoNotSurroundHeader/>
  <w:proofState w:spelling="clean" w:grammar="clean"/>
  <w:doNotTrackMoves/>
  <w:documentProtection w:edit="trackedChanges" w:enforcement="0"/>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w:docVars>
    <w:docVar w:name="commondata" w:val="eyJoZGlkIjoiYzhmYjcxMDVjNTU5Y2FhZTRlYjE1Y2IxMzE4ZWZiMmMifQ=="/>
  </w:docVars>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等线" w:eastAsia="等线" w:hAnsi="等线" w:asciiTheme="minorHAnsi" w:eastAsiaTheme="minorEastAsia" w:hAnsiTheme="minorHAnsi" w:cs="Arial" w:cstheme="minorBidi"/>
      <w:kern w:val="2"/>
      <w:sz w:val="21"/>
      <w:szCs w:val="22"/>
    </w:rPr>
  </w:style>
  <w:style w:type="paragraph" w:styleId="Heading3">
    <w:name w:val="Heading 3"/>
    <w:basedOn w:val="Normal"/>
    <w:next w:val="Normal"/>
    <w:qFormat/>
    <w:pPr>
      <w:keepNext/>
      <w:widowControl/>
      <w:spacing w:before="240" w:after="60"/>
      <w:jc w:val="left"/>
      <w:outlineLvl w:val="2"/>
    </w:pPr>
    <w:rPr>
      <w:rFonts w:ascii="Arial" w:hAnsi="Arial"/>
      <w:b/>
      <w:bCs/>
      <w:kern w:val="0"/>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页眉字符">
    <w:name w:val="页眉 字符"/>
    <w:basedOn w:val="DefaultParagraphFont"/>
    <w:uiPriority w:val="99"/>
    <w:qFormat/>
    <w:rPr>
      <w:sz w:val="18"/>
      <w:szCs w:val="18"/>
    </w:rPr>
  </w:style>
  <w:style w:type="character" w:customStyle="1" w:styleId="页脚字符">
    <w:name w:val="页脚 字符"/>
    <w:basedOn w:val="DefaultParagraphFont"/>
    <w:uiPriority w:val="99"/>
    <w:qFormat/>
    <w:rPr>
      <w:sz w:val="18"/>
      <w:szCs w:val="18"/>
    </w:rPr>
  </w:style>
  <w:style w:type="table" w:customStyle="1" w:styleId="无格式表格11">
    <w:name w:val="无格式表格 11"/>
    <w:basedOn w:val="TableNormal"/>
    <w:uiPriority w:val="41"/>
    <w:qForma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cPr>
        <w:tcBorders>
          <w:top w:val="double" w:sz="4" w:space="0" w:color="BFBFBF" w:themeColor="background1" w:themeShade="BF"/>
        </w:tcBorders>
      </w:tcPr>
    </w:tblStylePr>
    <w:tblStylePr w:type="firstCol">
      <w:rPr>
        <w:b/>
        <w:bCs/>
      </w:rPr>
    </w:tblStylePr>
    <w:tblStylePr w:type="lastCol">
      <w:rPr>
        <w:b/>
        <w:bCs/>
      </w:rPr>
    </w:tblStylePr>
    <w:tblStylePr w:type="band1Vert">
      <w:rPr/>
      <w:tcPr>
        <w:shd w:val="clear" w:color="auto" w:fill="F2F2F2"/>
      </w:tcPr>
    </w:tblStylePr>
    <w:tblStylePr w:type="band1Horz">
      <w:rPr/>
      <w:tcPr>
        <w:shd w:val="clear" w:color="auto" w:fill="F2F2F2"/>
      </w:tcPr>
    </w:tblStylePr>
  </w:style>
  <w:style w:type="paragraph" w:styleId="ListParagraph">
    <w:name w:val="List Paragraph"/>
    <w:basedOn w:val="Normal"/>
    <w:uiPriority w:val="34"/>
    <w:qFormat/>
    <w:pPr>
      <w:ind w:firstLine="420" w:firstLineChars="200"/>
    </w:pPr>
    <w:rPr/>
  </w:style>
  <w:style w:type="paragraph" w:customStyle="1" w:styleId="列出段落1">
    <w:name w:val="列出段落1"/>
    <w:basedOn w:val="Normal"/>
    <w:uiPriority w:val="99"/>
    <w:qFormat/>
    <w:pPr>
      <w:ind w:firstLine="420" w:firstLineChars="200"/>
    </w:pPr>
    <w:rPr/>
  </w:style>
  <w:style w:type="paragraph" w:customStyle="1" w:styleId="p0">
    <w:name w:val="p0"/>
    <w:basedOn w:val="Normal"/>
    <w:uiPriority w:val="99"/>
    <w:qFormat/>
    <w:pPr>
      <w:widowControl/>
    </w:pPr>
    <w:rPr>
      <w:rFonts w:ascii="Times New Roman" w:hAnsi="Times New Roman"/>
      <w:kern w:val="0"/>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customXml" Target="../customXml/item10.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_rels/item7.xml.rels>&#65279;<?xml version="1.0" encoding="utf-8"?><Relationships xmlns="http://schemas.openxmlformats.org/package/2006/relationships"><Relationship Id="rId1" Type="http://schemas.openxmlformats.org/officeDocument/2006/relationships/customXmlProps" Target="itemProps7.xml" /></Relationships>
</file>

<file path=customXml/_rels/item8.xml.rels>&#65279;<?xml version="1.0" encoding="utf-8"?><Relationships xmlns="http://schemas.openxmlformats.org/package/2006/relationships"><Relationship Id="rId1" Type="http://schemas.openxmlformats.org/officeDocument/2006/relationships/customXmlProps" Target="itemProps8.xml" /></Relationships>
</file>

<file path=customXml/_rels/item9.xml.rels>&#65279;<?xml version="1.0" encoding="utf-8"?><Relationships xmlns="http://schemas.openxmlformats.org/package/2006/relationships"><Relationship Id="rId1" Type="http://schemas.openxmlformats.org/officeDocument/2006/relationships/customXmlProps" Target="itemProps9.xml" /></Relationships>
</file>

<file path=customXml/_rels/item10.xml.rels>&#65279;<?xml version="1.0" encoding="utf-8"?><Relationships xmlns="http://schemas.openxmlformats.org/package/2006/relationships"><Relationship Id="rId1" Type="http://schemas.openxmlformats.org/officeDocument/2006/relationships/customXmlProps" Target="itemProps10.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customXml/item2.xml><?xml version="1.0" encoding="utf-8"?>
<Properties xmlns="http://schemas.openxmlformats.org/officeDocument/2006/extended-properties" xmlns:vt="http://schemas.openxmlformats.org/officeDocument/2006/docPropsVTypes">
  <Template>Normal.dotm</Template>
  <TotalTime>37</TotalTime>
  <Pages>1</Pages>
  <Words>28</Words>
  <Characters>165</Characters>
  <Application>Microsoft Office Word</Application>
  <DocSecurity>0</DocSecurity>
  <Lines>1</Lines>
  <Paragraphs>1</Paragraphs>
  <ScaleCrop>false</ScaleCrop>
  <Company/>
  <LinksUpToDate>false</LinksUpToDate>
  <CharactersWithSpaces>192</CharactersWithSpaces>
  <SharedDoc>false</SharedDoc>
  <HyperlinksChanged>false</HyperlinksChanged>
  <AppVersion>16.0000</AppVersion>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Shen Penny</cp:lastModifiedBy>
  <cp:revision>229</cp:revision>
  <dcterms:created xsi:type="dcterms:W3CDTF">2021-12-30T11:55:00Z</dcterms:created>
  <dcterms:modified xsi:type="dcterms:W3CDTF">2023-01-13T01:40:00Z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269</cp:revision>
  <dcterms:created xsi:type="dcterms:W3CDTF">2021-12-30T11:55:00Z</dcterms:created>
  <dcterms:modified xsi:type="dcterms:W3CDTF">2024-11-27T13:20:00Z</dcterms:modified>
</cp:core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8.xml><?xml version="1.0" encoding="utf-8"?>
<Properties xmlns="http://schemas.openxmlformats.org/officeDocument/2006/extended-properties" xmlns:vt="http://schemas.openxmlformats.org/officeDocument/2006/docPropsVTypes">
  <Template>Normal.dotm</Template>
  <TotalTime>28</TotalTime>
  <Pages>1</Pages>
  <Words>22</Words>
  <Characters>127</Characters>
  <Application>Microsoft Office Word</Application>
  <DocSecurity>0</DocSecurity>
  <Lines>1</Lines>
  <Paragraphs>1</Paragraphs>
  <ScaleCrop>false</ScaleCrop>
  <Company/>
  <LinksUpToDate>false</LinksUpToDate>
  <CharactersWithSpaces>148</CharactersWithSpaces>
  <SharedDoc>false</SharedDoc>
  <HyperlinksChanged>false</HyperlinksChanged>
  <AppVersion>16.0000</AppVersion>
</Properties>
</file>

<file path=customXml/item9.xml><?xml version="1.0" encoding="utf-8"?>
<Properties xmlns="http://schemas.openxmlformats.org/officeDocument/2006/extended-properties" xmlns:vt="http://schemas.openxmlformats.org/officeDocument/2006/docPropsVTypes">
  <Template>Normal.dotm</Template>
  <TotalTime>0</TotalTime>
  <Pages>1</Pages>
  <Words>12</Words>
  <Characters>69</Characters>
  <Application>Microsoft Office Word</Application>
  <DocSecurity>0</DocSecurity>
  <Lines>1</Lines>
  <Paragraphs>1</Paragraphs>
  <ScaleCrop>false</ScaleCrop>
  <Company/>
  <LinksUpToDate>false</LinksUpToDate>
  <CharactersWithSpaces>80</CharactersWithSpaces>
  <SharedDoc>false</SharedDoc>
  <HyperlinksChanged>false</HyperlinksChanged>
  <AppVersion>16.0000</AppVersion>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81354220-907C-4313-A0E9-24F4045478FC}">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6A0CF8BC-B040-4141-B3C5-61F357F7E097}">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4943E5E0-F2EA-4BA1-BC14-B3A66A82A148}">
  <ds:schemaRefs>
    <ds:schemaRef ds:uri="http://schemas.openxmlformats.org/officeDocument/2006/bibliography"/>
  </ds:schemaRefs>
</ds:datastoreItem>
</file>

<file path=customXml/itemProps7.xml><?xml version="1.0" encoding="utf-8"?>
<ds:datastoreItem xmlns:ds="http://schemas.openxmlformats.org/officeDocument/2006/customXml" ds:itemID="{EAD93815-8B47-4B90-B4B3-B77D396BA7B2}">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AF36978F-44F0-496E-AF0A-968223BEBEC4}">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1295FFCC-A8D6-4252-8D73-C0605AF162FC}">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CF406861-903F-4DDF-BAA1-4332C6B19B7F}">
  <ds:schemaRefs>
    <ds:schemaRef ds:uri="http://schemas.openxmlformats.org/officeDocument/2006/custom-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37</TotalTime>
  <Pages>1</Pages>
  <Words>28</Words>
  <Characters>165</Characters>
  <Application>Microsoft Office Word</Application>
  <DocSecurity>0</DocSecurity>
  <Lines>1</Lines>
  <Paragraphs>1</Paragraphs>
  <CharactersWithSpaces>192</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2052-11.1.0.12358</vt:lpstr>
  </property>
  <property fmtid="{D5CDD505-2E9C-101B-9397-08002B2CF9AE}" pid="3" name="ICV">
    <vt:lpstr>E1FDD09F4F6D45E0A9385DA46B82129B</vt:lpstr>
  </property>
</Properties>
</file>