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故事影响力：直击人心的表达艺术</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Storytelling Influence: The Art of Resonant Expression</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2027年03月11日-12日  上海</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宣老师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4980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上海：2027年03月11日-12日（宣老师）     |     上海：2027年05月28日-29日（宣老师）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上海：2027年07月22日-23日（宣老师）     </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客户痛点</w:t>
      </w:r>
    </w:p>
    <w:p>
      <w:pPr>
        <w:rPr/>
      </w:pPr>
      <w:r>
        <w:rPr>
          <w:rFonts w:ascii="微软雅黑" w:eastAsia="微软雅黑" w:hAnsi="微软雅黑" w:cs="微软雅黑"/>
          <w:sz w:val="20"/>
        </w:rPr>
        <w:t xml:space="preserve">真相存在于事实之中……而打动人心的，只能是故事</w:t>
      </w:r>
    </w:p>
    <w:p>
      <w:pPr>
        <w:rPr/>
      </w:pPr>
      <w:r>
        <w:rPr>
          <w:rFonts w:ascii="微软雅黑" w:eastAsia="微软雅黑" w:hAnsi="微软雅黑" w:cs="微软雅黑"/>
          <w:sz w:val="20"/>
        </w:rPr>
        <w:t xml:space="preserve">——Kevin Allen（前麦肯广告公司合伙人）</w:t>
      </w:r>
    </w:p>
    <w:p>
      <w:pPr>
        <w:rPr/>
      </w:pPr>
      <w:r>
        <w:rPr>
          <w:rFonts w:ascii="微软雅黑" w:eastAsia="微软雅黑" w:hAnsi="微软雅黑" w:cs="微软雅黑"/>
          <w:sz w:val="20"/>
        </w:rPr>
        <w:t xml:space="preserve">每年到年中和年底，都会有很多管理者开始焦躁不安，是因为他们要开始面对老板做阶段性述职。把数字呈现给老板看永远不会让他们焦虑，如何打动老板和升职加薪是他们所焦虑的。</w:t>
      </w:r>
    </w:p>
    <w:p>
      <w:pPr>
        <w:rPr/>
      </w:pPr>
      <w:r>
        <w:rPr>
          <w:rFonts w:ascii="微软雅黑" w:eastAsia="微软雅黑" w:hAnsi="微软雅黑" w:cs="微软雅黑"/>
          <w:sz w:val="20"/>
        </w:rPr>
        <w:t xml:space="preserve">同样，很多的销售员都会开始辗转反侧，因为他们要面对客户做方案陈述。把数字和利益放在ppt里展示给客户一点都不难，如何让客户觉得这是他们真正想要的方案或是这是值得托付的合作伙伴，是他们所追求的。</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课程特点</w:t>
      </w:r>
    </w:p>
    <w:p>
      <w:pPr>
        <w:rPr/>
      </w:pPr>
      <w:r>
        <w:rPr>
          <w:rFonts w:ascii="微软雅黑" w:eastAsia="微软雅黑" w:hAnsi="微软雅黑" w:cs="微软雅黑"/>
          <w:sz w:val="20"/>
        </w:rPr>
        <w:t xml:space="preserve">故事，就是过去的时间空间⾥⾯，发⽣在我们⾝上，对我们重要⽽且可能会引起他⼈共鸣的事情。本课程结合认知心理学和脑科学的科学原理，设计和呈现故事演讲的底层逻辑和实用方法，以“听众导向”设计和sell你的观点和想法，感受故事的力量和魅力。每个好故事的背后，都有一个核心的意义与价值，也有一个可以学习和演练的结构。</w:t>
      </w:r>
    </w:p>
    <w:p>
      <w:pPr>
        <w:rPr/>
      </w:pPr>
      <w:r>
        <w:rPr>
          <w:rFonts w:ascii="微软雅黑" w:eastAsia="微软雅黑" w:hAnsi="微软雅黑" w:cs="微软雅黑"/>
          <w:sz w:val="20"/>
        </w:rPr>
        <w:t xml:space="preserve">通过5S的故事结构，从直觉、逻辑、情感等各方面激活听众的注意力，俘获他们的心灵，引发情感共鸣。</w:t>
      </w:r>
    </w:p>
    <w:p>
      <w:pPr>
        <w:rPr/>
      </w:pPr>
      <w:r>
        <w:rPr>
          <w:rFonts w:ascii="微软雅黑" w:eastAsia="微软雅黑" w:hAnsi="微软雅黑" w:cs="微软雅黑"/>
          <w:sz w:val="20"/>
        </w:rPr>
        <w:t xml:space="preserve">针对职场商务场景定制化，案例和课堂练习都运用学员实际工作案例，真正做到培训落地，学以致用。</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课程收益</w:t>
      </w:r>
    </w:p>
    <w:p>
      <w:pPr>
        <w:rPr/>
      </w:pPr>
      <w:r>
        <w:rPr>
          <w:rFonts w:ascii="微软雅黑" w:eastAsia="微软雅黑" w:hAnsi="微软雅黑" w:cs="微软雅黑"/>
          <w:sz w:val="20"/>
        </w:rPr>
        <w:t xml:space="preserve">收获一整套系统化构思的底层逻辑和成功演讲的故事思维框架</w:t>
      </w:r>
    </w:p>
    <w:p>
      <w:pPr>
        <w:rPr/>
      </w:pPr>
      <w:r>
        <w:rPr>
          <w:rFonts w:ascii="微软雅黑" w:eastAsia="微软雅黑" w:hAnsi="微软雅黑" w:cs="微软雅黑"/>
          <w:sz w:val="20"/>
        </w:rPr>
        <w:t xml:space="preserve">典型商务场景下的故事5S框架</w:t>
      </w:r>
    </w:p>
    <w:p>
      <w:pPr>
        <w:rPr/>
      </w:pPr>
      <w:r>
        <w:rPr>
          <w:rFonts w:ascii="微软雅黑" w:eastAsia="微软雅黑" w:hAnsi="微软雅黑" w:cs="微软雅黑"/>
          <w:sz w:val="20"/>
        </w:rPr>
        <w:t xml:space="preserve">故事思维在不同商务场景下的真实使用</w:t>
      </w:r>
    </w:p>
    <w:p>
      <w:pPr>
        <w:rPr/>
      </w:pPr>
      <w:r>
        <w:rPr>
          <w:rFonts w:ascii="微软雅黑" w:eastAsia="微软雅黑" w:hAnsi="微软雅黑" w:cs="微软雅黑"/>
          <w:sz w:val="20"/>
        </w:rPr>
        <w:t xml:space="preserve">收获属于自己的商务故事</w:t>
      </w:r>
    </w:p>
    <w:p>
      <w:pPr>
        <w:rPr/>
      </w:pPr>
      <w:r>
        <w:rPr>
          <w:rFonts w:ascii="微软雅黑" w:eastAsia="微软雅黑" w:hAnsi="微软雅黑" w:cs="微软雅黑"/>
          <w:sz w:val="20"/>
        </w:rPr>
        <w:t xml:space="preserve">了解非言语的影响力如何助力商业汇报</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适合场景</w:t>
      </w:r>
    </w:p>
    <w:p>
      <w:pPr>
        <w:rPr/>
      </w:pPr>
      <w:r>
        <w:rPr>
          <w:rFonts w:ascii="微软雅黑" w:eastAsia="微软雅黑" w:hAnsi="微软雅黑" w:cs="微软雅黑"/>
          <w:sz w:val="20"/>
        </w:rPr>
        <w:t xml:space="preserve">演讲汇报、销售路演、产品介绍、工作汇报等</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一、讲好职场故事的底层逻辑</w:t>
      </w:r>
    </w:p>
    <w:p>
      <w:pPr>
        <w:rPr/>
      </w:pPr>
      <w:r>
        <w:rPr>
          <w:rFonts w:ascii="微软雅黑" w:eastAsia="微软雅黑" w:hAnsi="微软雅黑" w:cs="微软雅黑"/>
          <w:sz w:val="20"/>
        </w:rPr>
        <w:t xml:space="preserve">1、学员自我介绍（建立链接）</w:t>
      </w:r>
    </w:p>
    <w:p>
      <w:pPr>
        <w:rPr/>
      </w:pPr>
      <w:r>
        <w:rPr>
          <w:rFonts w:ascii="微软雅黑" w:eastAsia="微软雅黑" w:hAnsi="微软雅黑" w:cs="微软雅黑"/>
          <w:sz w:val="20"/>
        </w:rPr>
        <w:t xml:space="preserve">2、真实故事案例引出故事的影响力</w:t>
      </w:r>
    </w:p>
    <w:p>
      <w:pPr>
        <w:rPr/>
      </w:pPr>
      <w:r>
        <w:rPr>
          <w:rFonts w:ascii="微软雅黑" w:eastAsia="微软雅黑" w:hAnsi="微软雅黑" w:cs="微软雅黑"/>
          <w:sz w:val="20"/>
        </w:rPr>
        <w:t xml:space="preserve">为什么故事比事实更有说服力</w:t>
      </w:r>
    </w:p>
    <w:p>
      <w:pPr>
        <w:rPr/>
      </w:pPr>
      <w:r>
        <w:rPr>
          <w:rFonts w:ascii="微软雅黑" w:eastAsia="微软雅黑" w:hAnsi="微软雅黑" w:cs="微软雅黑"/>
          <w:sz w:val="20"/>
        </w:rPr>
        <w:t xml:space="preserve">为什么故事更能提高信任度</w:t>
      </w:r>
    </w:p>
    <w:p>
      <w:pPr>
        <w:rPr/>
      </w:pPr>
      <w:r>
        <w:rPr>
          <w:rFonts w:ascii="微软雅黑" w:eastAsia="微软雅黑" w:hAnsi="微软雅黑" w:cs="微软雅黑"/>
          <w:sz w:val="20"/>
        </w:rPr>
        <w:t xml:space="preserve">故事对决策产生有重大影响的根本原因</w:t>
      </w:r>
    </w:p>
    <w:p>
      <w:pPr>
        <w:rPr/>
      </w:pPr>
      <w:r>
        <w:rPr>
          <w:rFonts w:ascii="微软雅黑" w:eastAsia="微软雅黑" w:hAnsi="微软雅黑" w:cs="微软雅黑"/>
          <w:sz w:val="20"/>
        </w:rPr>
        <w:t xml:space="preserve">3、职场讲故事的3大目的</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二、建立以终为始的设计思路（mindset）听众导向</w:t>
      </w:r>
    </w:p>
    <w:p>
      <w:pPr>
        <w:rPr/>
      </w:pPr>
      <w:r>
        <w:rPr>
          <w:rFonts w:ascii="微软雅黑" w:eastAsia="微软雅黑" w:hAnsi="微软雅黑" w:cs="微软雅黑"/>
          <w:sz w:val="20"/>
        </w:rPr>
        <w:t xml:space="preserve">首先，明确讲故事/沟通的场景</w:t>
      </w:r>
    </w:p>
    <w:p>
      <w:pPr>
        <w:rPr/>
      </w:pPr>
      <w:r>
        <w:rPr>
          <w:rFonts w:ascii="微软雅黑" w:eastAsia="微软雅黑" w:hAnsi="微软雅黑" w:cs="微软雅黑"/>
          <w:sz w:val="20"/>
        </w:rPr>
        <w:t xml:space="preserve">工具1：潜在听众分布图</w:t>
      </w:r>
    </w:p>
    <w:p>
      <w:pPr>
        <w:rPr/>
      </w:pPr>
      <w:r>
        <w:rPr>
          <w:rFonts w:ascii="微软雅黑" w:eastAsia="微软雅黑" w:hAnsi="微软雅黑" w:cs="微软雅黑"/>
          <w:sz w:val="20"/>
        </w:rPr>
        <w:t xml:space="preserve">学员练习：我的潜在听众</w:t>
      </w:r>
    </w:p>
    <w:p>
      <w:pPr>
        <w:rPr/>
      </w:pPr>
      <w:r>
        <w:rPr>
          <w:rFonts w:ascii="微软雅黑" w:eastAsia="微软雅黑" w:hAnsi="微软雅黑" w:cs="微软雅黑"/>
          <w:sz w:val="20"/>
        </w:rPr>
        <w:t xml:space="preserve">其次，了解你的听众</w:t>
      </w:r>
    </w:p>
    <w:p>
      <w:pPr>
        <w:rPr/>
      </w:pPr>
      <w:r>
        <w:rPr>
          <w:rFonts w:ascii="微软雅黑" w:eastAsia="微软雅黑" w:hAnsi="微软雅黑" w:cs="微软雅黑"/>
          <w:sz w:val="20"/>
        </w:rPr>
        <w:t xml:space="preserve">工具2：听众分布图</w:t>
      </w:r>
    </w:p>
    <w:p>
      <w:pPr>
        <w:rPr/>
      </w:pPr>
      <w:r>
        <w:rPr>
          <w:rFonts w:ascii="微软雅黑" w:eastAsia="微软雅黑" w:hAnsi="微软雅黑" w:cs="微软雅黑"/>
          <w:sz w:val="20"/>
        </w:rPr>
        <w:t xml:space="preserve">学员练习：如何了解听众</w:t>
      </w:r>
    </w:p>
    <w:p>
      <w:pPr>
        <w:rPr/>
      </w:pPr>
      <w:r>
        <w:rPr>
          <w:rFonts w:ascii="微软雅黑" w:eastAsia="微软雅黑" w:hAnsi="微软雅黑" w:cs="微软雅黑"/>
          <w:sz w:val="20"/>
        </w:rPr>
        <w:t xml:space="preserve">最终，明确讲故事/沟通的目的</w:t>
      </w:r>
    </w:p>
    <w:p>
      <w:pPr>
        <w:rPr/>
      </w:pPr>
      <w:r>
        <w:rPr>
          <w:rFonts w:ascii="微软雅黑" w:eastAsia="微软雅黑" w:hAnsi="微软雅黑" w:cs="微软雅黑"/>
          <w:sz w:val="20"/>
        </w:rPr>
        <w:t xml:space="preserve">工具3：四象限问题导图 </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三、讲好故事的任督二脉 —— 一根逻辑线搞定N种场景</w:t>
      </w:r>
    </w:p>
    <w:p>
      <w:pPr>
        <w:rPr/>
      </w:pPr>
      <w:r>
        <w:rPr>
          <w:rFonts w:ascii="微软雅黑" w:eastAsia="微软雅黑" w:hAnsi="微软雅黑" w:cs="微软雅黑"/>
          <w:sz w:val="20"/>
        </w:rPr>
        <w:t xml:space="preserve">1、任脉：5S故事思维线解析</w:t>
      </w:r>
    </w:p>
    <w:p>
      <w:pPr>
        <w:rPr/>
      </w:pPr>
      <w:r>
        <w:rPr>
          <w:rFonts w:ascii="微软雅黑" w:eastAsia="微软雅黑" w:hAnsi="微软雅黑" w:cs="微软雅黑"/>
          <w:sz w:val="20"/>
        </w:rPr>
        <w:t xml:space="preserve">Setup </w:t>
      </w:r>
    </w:p>
    <w:p>
      <w:pPr>
        <w:rPr/>
      </w:pPr>
      <w:r>
        <w:rPr>
          <w:rFonts w:ascii="微软雅黑" w:eastAsia="微软雅黑" w:hAnsi="微软雅黑" w:cs="微软雅黑"/>
          <w:sz w:val="20"/>
        </w:rPr>
        <w:t xml:space="preserve">Struggle </w:t>
      </w:r>
    </w:p>
    <w:p>
      <w:pPr>
        <w:rPr/>
      </w:pPr>
      <w:r>
        <w:rPr>
          <w:rFonts w:ascii="微软雅黑" w:eastAsia="微软雅黑" w:hAnsi="微软雅黑" w:cs="微软雅黑"/>
          <w:sz w:val="20"/>
        </w:rPr>
        <w:t xml:space="preserve">Solution  </w:t>
      </w:r>
    </w:p>
    <w:p>
      <w:pPr>
        <w:rPr/>
      </w:pPr>
      <w:r>
        <w:rPr>
          <w:rFonts w:ascii="微软雅黑" w:eastAsia="微软雅黑" w:hAnsi="微软雅黑" w:cs="微软雅黑"/>
          <w:sz w:val="20"/>
        </w:rPr>
        <w:t xml:space="preserve">Result</w:t>
      </w:r>
    </w:p>
    <w:p>
      <w:pPr>
        <w:rPr/>
      </w:pPr>
      <w:r>
        <w:rPr>
          <w:rFonts w:ascii="微软雅黑" w:eastAsia="微软雅黑" w:hAnsi="微软雅黑" w:cs="微软雅黑"/>
          <w:sz w:val="20"/>
        </w:rPr>
        <w:t xml:space="preserve">Standpoint</w:t>
      </w:r>
    </w:p>
    <w:p>
      <w:pPr>
        <w:rPr/>
      </w:pPr>
      <w:r>
        <w:rPr>
          <w:rFonts w:ascii="微软雅黑" w:eastAsia="微软雅黑" w:hAnsi="微软雅黑" w:cs="微软雅黑"/>
          <w:sz w:val="20"/>
        </w:rPr>
        <w:t xml:space="preserve">2、故事思维线在不同场景下的使用（视频案例）</w:t>
      </w:r>
    </w:p>
    <w:p>
      <w:pPr>
        <w:rPr/>
      </w:pPr>
      <w:r>
        <w:rPr>
          <w:rFonts w:ascii="微软雅黑" w:eastAsia="微软雅黑" w:hAnsi="微软雅黑" w:cs="微软雅黑"/>
          <w:sz w:val="20"/>
        </w:rPr>
        <w:t xml:space="preserve">个人的故事</w:t>
      </w:r>
    </w:p>
    <w:p>
      <w:pPr>
        <w:rPr/>
      </w:pPr>
      <w:r>
        <w:rPr>
          <w:rFonts w:ascii="微软雅黑" w:eastAsia="微软雅黑" w:hAnsi="微软雅黑" w:cs="微软雅黑"/>
          <w:sz w:val="20"/>
        </w:rPr>
        <w:t xml:space="preserve">客户的故事</w:t>
      </w:r>
    </w:p>
    <w:p>
      <w:pPr>
        <w:rPr/>
      </w:pPr>
      <w:r>
        <w:rPr>
          <w:rFonts w:ascii="微软雅黑" w:eastAsia="微软雅黑" w:hAnsi="微软雅黑" w:cs="微软雅黑"/>
          <w:sz w:val="20"/>
        </w:rPr>
        <w:t xml:space="preserve">成功案例故事</w:t>
      </w:r>
    </w:p>
    <w:p>
      <w:pPr>
        <w:rPr/>
      </w:pPr>
      <w:r>
        <w:rPr>
          <w:rFonts w:ascii="微软雅黑" w:eastAsia="微软雅黑" w:hAnsi="微软雅黑" w:cs="微软雅黑"/>
          <w:sz w:val="20"/>
        </w:rPr>
        <w:t xml:space="preserve">练习：根据各类故事模版，写出自己的个人/客户/成功案例故事</w:t>
      </w:r>
    </w:p>
    <w:p>
      <w:pPr>
        <w:rPr/>
      </w:pPr>
      <w:r>
        <w:rPr>
          <w:rFonts w:ascii="微软雅黑" w:eastAsia="微软雅黑" w:hAnsi="微软雅黑" w:cs="微软雅黑"/>
          <w:sz w:val="20"/>
        </w:rPr>
        <w:t xml:space="preserve">3、故事地图让你拥有故事银行</w:t>
      </w:r>
    </w:p>
    <w:p>
      <w:pPr>
        <w:rPr/>
      </w:pPr>
      <w:r>
        <w:rPr>
          <w:rFonts w:ascii="微软雅黑" w:eastAsia="微软雅黑" w:hAnsi="微软雅黑" w:cs="微软雅黑"/>
          <w:sz w:val="20"/>
        </w:rPr>
        <w:t xml:space="preserve">设计一个属于自己的职场故事</w:t>
      </w:r>
    </w:p>
    <w:p>
      <w:pPr>
        <w:rPr/>
      </w:pPr>
      <w:r>
        <w:rPr>
          <w:rFonts w:ascii="微软雅黑" w:eastAsia="微软雅黑" w:hAnsi="微软雅黑" w:cs="微软雅黑"/>
          <w:sz w:val="20"/>
        </w:rPr>
        <w:t xml:space="preserve">4、督脉：情绪线</w:t>
      </w:r>
    </w:p>
    <w:p>
      <w:pPr>
        <w:rPr/>
      </w:pPr>
      <w:r>
        <w:rPr>
          <w:rFonts w:ascii="微软雅黑" w:eastAsia="微软雅黑" w:hAnsi="微软雅黑" w:cs="微软雅黑"/>
          <w:sz w:val="20"/>
        </w:rPr>
        <w:t xml:space="preserve">先苦后甜</w:t>
      </w:r>
    </w:p>
    <w:p>
      <w:pPr>
        <w:rPr/>
      </w:pPr>
      <w:r>
        <w:rPr>
          <w:rFonts w:ascii="微软雅黑" w:eastAsia="微软雅黑" w:hAnsi="微软雅黑" w:cs="微软雅黑"/>
          <w:sz w:val="20"/>
        </w:rPr>
        <w:t xml:space="preserve">先甜后苦</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三、故事思维在商务场景中的应用</w:t>
      </w:r>
    </w:p>
    <w:p>
      <w:pPr>
        <w:rPr/>
      </w:pPr>
      <w:r>
        <w:rPr>
          <w:rFonts w:ascii="微软雅黑" w:eastAsia="微软雅黑" w:hAnsi="微软雅黑" w:cs="微软雅黑"/>
          <w:sz w:val="20"/>
        </w:rPr>
        <w:t xml:space="preserve">1、技术类故事——如何让数据鲜活起来？</w:t>
      </w:r>
    </w:p>
    <w:p>
      <w:pPr>
        <w:rPr/>
      </w:pPr>
      <w:r>
        <w:rPr>
          <w:rFonts w:ascii="微软雅黑" w:eastAsia="微软雅黑" w:hAnsi="微软雅黑" w:cs="微软雅黑"/>
          <w:sz w:val="20"/>
        </w:rPr>
        <w:t xml:space="preserve">使用数据的目的和误区</w:t>
      </w:r>
    </w:p>
    <w:p>
      <w:pPr>
        <w:rPr/>
      </w:pPr>
      <w:r>
        <w:rPr>
          <w:rFonts w:ascii="微软雅黑" w:eastAsia="微软雅黑" w:hAnsi="微软雅黑" w:cs="微软雅黑"/>
          <w:sz w:val="20"/>
        </w:rPr>
        <w:t xml:space="preserve">用故事元素诠释数据的6种方法</w:t>
      </w:r>
    </w:p>
    <w:p>
      <w:pPr>
        <w:rPr/>
      </w:pPr>
      <w:r>
        <w:rPr>
          <w:rFonts w:ascii="微软雅黑" w:eastAsia="微软雅黑" w:hAnsi="微软雅黑" w:cs="微软雅黑"/>
          <w:sz w:val="20"/>
        </w:rPr>
        <w:t xml:space="preserve">分组练习：用一种故事元素试讲工作中的数据</w:t>
      </w:r>
    </w:p>
    <w:p>
      <w:pPr>
        <w:rPr/>
      </w:pPr>
      <w:r>
        <w:rPr>
          <w:rFonts w:ascii="微软雅黑" w:eastAsia="微软雅黑" w:hAnsi="微软雅黑" w:cs="微软雅黑"/>
          <w:sz w:val="20"/>
        </w:rPr>
        <w:t xml:space="preserve">2、销售类故事</w:t>
      </w:r>
    </w:p>
    <w:p>
      <w:pPr>
        <w:rPr/>
      </w:pPr>
      <w:r>
        <w:rPr>
          <w:rFonts w:ascii="微软雅黑" w:eastAsia="微软雅黑" w:hAnsi="微软雅黑" w:cs="微软雅黑"/>
          <w:sz w:val="20"/>
        </w:rPr>
        <w:t xml:space="preserve">联结故事</w:t>
      </w:r>
    </w:p>
    <w:p>
      <w:pPr>
        <w:rPr/>
      </w:pPr>
      <w:r>
        <w:rPr>
          <w:rFonts w:ascii="微软雅黑" w:eastAsia="微软雅黑" w:hAnsi="微软雅黑" w:cs="微软雅黑"/>
          <w:sz w:val="20"/>
        </w:rPr>
        <w:t xml:space="preserve">产品/服务卖点故事</w:t>
      </w:r>
    </w:p>
    <w:p>
      <w:pPr>
        <w:rPr/>
      </w:pPr>
      <w:r>
        <w:rPr>
          <w:rFonts w:ascii="微软雅黑" w:eastAsia="微软雅黑" w:hAnsi="微软雅黑" w:cs="微软雅黑"/>
          <w:sz w:val="20"/>
        </w:rPr>
        <w:t xml:space="preserve">打消疑虑的故事</w:t>
      </w:r>
    </w:p>
    <w:p>
      <w:pPr>
        <w:rPr/>
      </w:pPr>
      <w:r>
        <w:rPr>
          <w:rFonts w:ascii="微软雅黑" w:eastAsia="微软雅黑" w:hAnsi="微软雅黑" w:cs="微软雅黑"/>
          <w:sz w:val="20"/>
        </w:rPr>
        <w:t xml:space="preserve">分组练习：试讲一类故事</w:t>
      </w:r>
    </w:p>
    <w:p>
      <w:pPr>
        <w:rPr/>
      </w:pPr>
      <w:r>
        <w:rPr>
          <w:rFonts w:ascii="微软雅黑" w:eastAsia="微软雅黑" w:hAnsi="微软雅黑" w:cs="微软雅黑"/>
          <w:sz w:val="20"/>
        </w:rPr>
        <w:t xml:space="preserve">3、领导者的3类故事</w:t>
      </w:r>
    </w:p>
    <w:p>
      <w:pPr>
        <w:rPr/>
      </w:pPr>
      <w:r>
        <w:rPr>
          <w:rFonts w:ascii="微软雅黑" w:eastAsia="微软雅黑" w:hAnsi="微软雅黑" w:cs="微软雅黑"/>
          <w:sz w:val="20"/>
        </w:rPr>
        <w:t xml:space="preserve">自己的故事</w:t>
      </w:r>
    </w:p>
    <w:p>
      <w:pPr>
        <w:rPr/>
      </w:pPr>
      <w:r>
        <w:rPr>
          <w:rFonts w:ascii="微软雅黑" w:eastAsia="微软雅黑" w:hAnsi="微软雅黑" w:cs="微软雅黑"/>
          <w:sz w:val="20"/>
        </w:rPr>
        <w:t xml:space="preserve">员工的故事</w:t>
      </w:r>
    </w:p>
    <w:p>
      <w:pPr>
        <w:rPr/>
      </w:pPr>
      <w:r>
        <w:rPr>
          <w:rFonts w:ascii="微软雅黑" w:eastAsia="微软雅黑" w:hAnsi="微软雅黑" w:cs="微软雅黑"/>
          <w:sz w:val="20"/>
        </w:rPr>
        <w:t xml:space="preserve">企业的故事</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四、故事演绎三感，提升生动性</w:t>
      </w:r>
    </w:p>
    <w:p>
      <w:pPr>
        <w:rPr/>
      </w:pPr>
      <w:r>
        <w:rPr>
          <w:rFonts w:ascii="微软雅黑" w:eastAsia="微软雅黑" w:hAnsi="微软雅黑" w:cs="微软雅黑"/>
          <w:sz w:val="20"/>
        </w:rPr>
        <w:t xml:space="preserve">1、对象感</w:t>
      </w:r>
    </w:p>
    <w:p>
      <w:pPr>
        <w:rPr/>
      </w:pPr>
      <w:r>
        <w:rPr>
          <w:rFonts w:ascii="微软雅黑" w:eastAsia="微软雅黑" w:hAnsi="微软雅黑" w:cs="微软雅黑"/>
          <w:sz w:val="20"/>
        </w:rPr>
        <w:t xml:space="preserve">2、场景感</w:t>
      </w:r>
    </w:p>
    <w:p>
      <w:pPr>
        <w:rPr/>
      </w:pPr>
      <w:r>
        <w:rPr>
          <w:rFonts w:ascii="微软雅黑" w:eastAsia="微软雅黑" w:hAnsi="微软雅黑" w:cs="微软雅黑"/>
          <w:sz w:val="20"/>
        </w:rPr>
        <w:t xml:space="preserve">3、角色感</w:t>
      </w:r>
    </w:p>
    <w:p>
      <w:pPr>
        <w:rPr/>
      </w:pPr>
      <w:r>
        <w:rPr>
          <w:rFonts w:ascii="微软雅黑" w:eastAsia="微软雅黑" w:hAnsi="微软雅黑" w:cs="微软雅黑"/>
          <w:sz w:val="20"/>
        </w:rPr>
        <w:t xml:space="preserve">4、金句创作，让听众久久不忘</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五、非言语的影响力</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六、毕业秀：运用5S的演讲结构和演绎技巧做一次商务演讲呈现</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Kelly Xuan</w:t>
      </w:r>
    </w:p>
    <w:p>
      <w:pPr>
        <w:rPr/>
      </w:pPr>
      <w:r>
        <w:rPr>
          <w:rFonts w:ascii="微软雅黑" w:eastAsia="微软雅黑" w:hAnsi="微软雅黑" w:cs="微软雅黑"/>
          <w:sz w:val="20"/>
        </w:rPr>
        <w:t xml:space="preserve">资深培训师/高级咨询顾问/资深引导师</w:t>
      </w:r>
    </w:p>
    <w:p>
      <w:pPr>
        <w:rPr/>
      </w:pPr>
      <w:r>
        <w:rPr>
          <w:rFonts w:ascii="微软雅黑" w:eastAsia="微软雅黑" w:hAnsi="微软雅黑" w:cs="微软雅黑"/>
          <w:sz w:val="20"/>
        </w:rPr>
        <w:t xml:space="preserve">宣老师拥有20年世界500强/跨国企业培训管理经验，涉及领导力领域、演讲沟通和销售培训经验，学员来自于金融、制造、科技、汽车等不同领域的员工及公司管理层。</w:t>
      </w:r>
    </w:p>
    <w:p>
      <w:pPr>
        <w:rPr/>
      </w:pPr>
      <w:r>
        <w:rPr>
          <w:rFonts w:ascii="微软雅黑" w:eastAsia="微软雅黑" w:hAnsi="微软雅黑" w:cs="微软雅黑"/>
          <w:sz w:val="20"/>
        </w:rPr>
        <w:t xml:space="preserve">宣老师曾为世界500强圣戈班石膏建材搭建公司培训体系及内训师平台，期间任销售培训项目总负责及主讲师，负责课程开发、设计和交付；长期为汇丰（集团）下多家子公司（汇丰银行、汇丰金科、汇丰保险、汇丰村镇银行、聆峰创投、恒丰银行等）提供培训体系搭建、专家培训顾问咨询、财富规划专业类课程和领导力课程的交付；为中国银行总行财富管理金融学院搭建私行培训体系；为中国工商银行（黄埔）支行提供团队管理培训等项目。在领导力领域，宣老师为保时捷、汇丰等集团客户和大型国企、民企客户提供课程设计和交付各类以客户需求为核心的领导力课程；在演讲沟通领域，宣老师为不同领域客户提供《有说服力的商务汇报》和《职场故事影响力》的训练营，被客户誉为“最有效、最专业”的演讲训练营，带来了“显著的改变”。 </w:t>
      </w:r>
    </w:p>
    <w:p>
      <w:pPr>
        <w:rPr/>
      </w:pPr>
      <w:r>
        <w:rPr>
          <w:rFonts w:ascii="微软雅黑" w:eastAsia="微软雅黑" w:hAnsi="微软雅黑" w:cs="微软雅黑"/>
          <w:sz w:val="20"/>
        </w:rPr>
        <w:t xml:space="preserve">宣老师擅长运用心理学将当下的时代特征与企业管理的融合，将发展心理学、积极心理学、乐高等一系列心理学理论与工具运用于变革管理和Z世代的员工管理与激励中，精准剖析新生代的特点与沟通模式，有效帮助企业了解Z时代员工的特质，运用有效的管理方式来激发员工的内驱力，提升Z世代的员工敬业度，拥有自己的版权课程《Z世代的职场哲学》和《目标管理及工作路径规划》，宣老师也是企业EAP的核心培训师。</w:t>
      </w:r>
    </w:p>
    <w:p>
      <w:pPr>
        <w:rPr/>
      </w:pPr>
      <w:r>
        <w:rPr>
          <w:rFonts w:ascii="微软雅黑" w:eastAsia="微软雅黑" w:hAnsi="微软雅黑" w:cs="微软雅黑"/>
          <w:sz w:val="20"/>
        </w:rPr>
        <w:t xml:space="preserve">宣老师擅长引导式培训，培训风格严谨风趣，极具亲和力和洞察力，课程基于客户的业务痛点出发，将心理学底层逻辑和管理沟通实际相融合，“以终为始”的课程逻辑和互动式的授课风格，受到客户和学员的一致好评。</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擅长课程</w:t>
      </w:r>
    </w:p>
    <w:p>
      <w:pPr>
        <w:rPr/>
      </w:pPr>
      <w:r>
        <w:rPr>
          <w:rFonts w:ascii="微软雅黑" w:eastAsia="微软雅黑" w:hAnsi="微软雅黑" w:cs="微软雅黑"/>
          <w:sz w:val="20"/>
        </w:rPr>
        <w:t xml:space="preserve">《多米诺系列-目标管理和工作路径规划》（版权课）</w:t>
      </w:r>
    </w:p>
    <w:p>
      <w:pPr>
        <w:rPr/>
      </w:pPr>
      <w:r>
        <w:rPr>
          <w:rFonts w:ascii="微软雅黑" w:eastAsia="微软雅黑" w:hAnsi="微软雅黑" w:cs="微软雅黑"/>
          <w:sz w:val="20"/>
        </w:rPr>
        <w:t xml:space="preserve">《Z世代的职场哲学》（版权课）</w:t>
      </w:r>
    </w:p>
    <w:p>
      <w:pPr>
        <w:rPr/>
      </w:pPr>
      <w:r>
        <w:rPr>
          <w:rFonts w:ascii="微软雅黑" w:eastAsia="微软雅黑" w:hAnsi="微软雅黑" w:cs="微软雅黑"/>
          <w:sz w:val="20"/>
        </w:rPr>
        <w:t xml:space="preserve">《有影响力的商务汇报和演讲呈现》          </w:t>
      </w:r>
    </w:p>
    <w:p>
      <w:pPr>
        <w:rPr/>
      </w:pPr>
      <w:r>
        <w:rPr>
          <w:rFonts w:ascii="微软雅黑" w:eastAsia="微软雅黑" w:hAnsi="微软雅黑" w:cs="微软雅黑"/>
          <w:sz w:val="20"/>
        </w:rPr>
        <w:t xml:space="preserve">《乐高系列-高情商沟通与冲突管理》     </w:t>
      </w:r>
    </w:p>
    <w:p>
      <w:pPr>
        <w:rPr/>
      </w:pPr>
      <w:r>
        <w:rPr>
          <w:rFonts w:ascii="微软雅黑" w:eastAsia="微软雅黑" w:hAnsi="微软雅黑" w:cs="微软雅黑"/>
          <w:sz w:val="20"/>
        </w:rPr>
        <w:t xml:space="preserve">《职场故事影响力》                  </w:t>
      </w:r>
    </w:p>
    <w:p>
      <w:pPr>
        <w:rPr/>
      </w:pPr>
      <w:r>
        <w:rPr>
          <w:rFonts w:ascii="微软雅黑" w:eastAsia="微软雅黑" w:hAnsi="微软雅黑" w:cs="微软雅黑"/>
          <w:sz w:val="20"/>
        </w:rPr>
        <w:t xml:space="preserve">《乐高系列-成为卓越的团队领导者》</w:t>
      </w:r>
    </w:p>
    <w:p>
      <w:pPr>
        <w:rPr/>
      </w:pPr>
      <w:r>
        <w:rPr>
          <w:rFonts w:ascii="微软雅黑" w:eastAsia="微软雅黑" w:hAnsi="微软雅黑" w:cs="微软雅黑"/>
          <w:sz w:val="20"/>
        </w:rPr>
        <w:t xml:space="preserve">《打造销售的信任力和沟通力》           </w:t>
      </w:r>
    </w:p>
    <w:p>
      <w:pPr>
        <w:rPr/>
      </w:pPr>
      <w:r>
        <w:rPr>
          <w:rFonts w:ascii="微软雅黑" w:eastAsia="微软雅黑" w:hAnsi="微软雅黑" w:cs="微软雅黑"/>
          <w:sz w:val="20"/>
        </w:rPr>
        <w:t xml:space="preserve">《MBTI视角下的代际领导力》</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部分合作企事业单位 ：</w:t>
      </w:r>
    </w:p>
    <w:p>
      <w:pPr>
        <w:rPr/>
      </w:pPr>
      <w:r>
        <w:rPr>
          <w:rFonts w:ascii="微软雅黑" w:eastAsia="微软雅黑" w:hAnsi="微软雅黑" w:cs="微软雅黑"/>
          <w:sz w:val="20"/>
        </w:rPr>
        <w:t xml:space="preserve">HSBC、中国银行、中国工商银行、恒生银行、恒丰银行、大华银行、招银银行、东方汇理、中国民生银行、交银施罗德、SAINT-GOBAIN、兴三星•科技、umicore、正大木业、河西集团、三棵树、聚和新材、三峰木业、Entegris、沃森生物、PORSCHE、奔驰、IBM、灵西机器人、上海开放大学、WFLMS、上海市建平实验中学、城市管理执法、上海地铁、湖畔创研中心、上海市人力资源和社会保障局、苏州乐园、中国上海人才市场</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