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w15="http://schemas.microsoft.com/office/word/2012/wordml" mc:Ignorable="w14 w15 wp14">
  <!-- Generated by Spire.Doc -->
  <w:body>
    <w:p>
      <w:pPr>
        <w:snapToGrid w:val="0"/>
        <w:rPr>
          <w:rFonts w:ascii="微软雅黑" w:eastAsia="微软雅黑" w:hAnsi="微软雅黑" w:hint="eastAsia"/>
          <w:sz w:val="20"/>
          <w:szCs w:val="20"/>
        </w:rPr>
      </w:pPr>
      <w:bookmarkStart w:id="0" w:name="_Hlk91793999"/>
      <w:bookmarkEnd w:id="0"/>
    </w:p>
    <w:p>
      <w:pPr>
        <w:snapToGrid w:val="0"/>
        <w:jc w:val="center"/>
        <w:rPr>
          <w:rFonts w:ascii="微软雅黑" w:eastAsia="微软雅黑" w:hAnsi="微软雅黑" w:cs="Times New Roman" w:hint="eastAsia"/>
          <w:color w:val="404040" w:themeColor="text1" w:themeTint="BF"/>
          <w:sz w:val="44"/>
          <w:szCs w:val="44"/>
        </w:rPr>
      </w:pPr>
      <w:r>
        <w:rPr>
          <w:rFonts w:ascii="微软雅黑" w:eastAsia="微软雅黑" w:hAnsi="微软雅黑" w:cs="Times New Roman" w:hint="eastAsia"/>
          <w:color w:val="404040" w:themeColor="text1" w:themeTint="BF"/>
          <w:sz w:val="44"/>
          <w:szCs w:val="44"/>
        </w:rPr>
        <w:t xml:space="preserve">OD实战：组织诊断模型、方法和过程实践技能</w:t>
      </w:r>
      <w:r w:rsidR="00000000">
        <w:rPr>
          <w:rFonts w:ascii="微软雅黑" w:eastAsia="微软雅黑" w:hAnsi="微软雅黑" w:cs="Times New Roman" w:hint="eastAsia"/>
          <w:color w:val="404040" w:themeColor="text1" w:themeTint="BF"/>
          <w:sz w:val="44"/>
          <w:szCs w:val="44"/>
        </w:rPr>
        <w:tab/>
      </w:r>
    </w:p>
    <w:p>
      <w:pPr>
        <w:snapToGrid w:val="0"/>
        <w:jc w:val="center"/>
        <w:rPr>
          <w:rFonts w:ascii="Arial" w:hAnsi="Arial" w:cs="Arial"/>
          <w:color w:val="D6D6D6"/>
          <w:sz w:val="24"/>
          <w:szCs w:val="24"/>
        </w:rPr>
      </w:pPr>
      <w:r>
        <w:rPr>
          <w:rFonts w:ascii="Arial" w:hAnsi="Arial" w:cs="Arial" w:hint="eastAsia"/>
          <w:color w:val="D6D6D6"/>
          <w:sz w:val="24"/>
          <w:szCs w:val="24"/>
        </w:rPr>
        <w:t xml:space="preserve">Practical Skills of Organization Diagnosis Model and Methods</w:t>
      </w:r>
    </w:p>
    <w:p>
      <w:pPr>
        <w:snapToGrid w:val="0"/>
        <w:rPr>
          <w:rFonts w:ascii="微软雅黑" w:eastAsia="微软雅黑" w:hAnsi="微软雅黑" w:hint="eastAsia"/>
          <w:sz w:val="20"/>
          <w:szCs w:val="20"/>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434"/>
        <w:gridCol w:w="2434"/>
        <w:gridCol w:w="2434"/>
        <w:gridCol w:w="2434"/>
      </w:tblGrid>
      <w:tr w:rsidTr="00032DE5">
        <w:trPr>
          <w:trHeight w:val="538"/>
        </w:trPr>
        <w:tc>
          <w:tcPr>
            <w:tcW w:w="2434" w:type="dxa"/>
            <w:shd w:val="clear" w:color="auto" w:fill="2E74B5"/>
            <w:vAlign w:val="center"/>
          </w:tcPr>
          <w:p>
            <w:pPr>
              <w:snapToGrid w:val="0"/>
              <w:ind w:left="210" w:leftChars="100"/>
              <w:jc w:val="left"/>
              <w:rPr>
                <w:rFonts w:ascii="微软雅黑" w:eastAsia="微软雅黑" w:hAnsi="微软雅黑" w:hint="eastAsia"/>
                <w:color w:val="FFFFFF" w:themeColor="background1"/>
                <w:sz w:val="20"/>
                <w:szCs w:val="20"/>
              </w:rPr>
            </w:pPr>
            <w:r>
              <w:rPr>
                <w:rFonts w:ascii="微软雅黑" w:eastAsia="微软雅黑" w:hAnsi="微软雅黑" w:cs="宋体" w:hint="eastAsia"/>
                <w:b/>
                <w:bCs/>
                <w:color w:val="FFFFFF" w:themeColor="background1"/>
                <w:kern w:val="0"/>
                <w:sz w:val="24"/>
                <w:szCs w:val="24"/>
              </w:rPr>
              <w:t xml:space="preserve">日期</w:t>
            </w:r>
            <w:r w:rsidRPr="00032DE5">
              <w:rPr>
                <w:rFonts w:ascii="微软雅黑" w:eastAsia="微软雅黑" w:hAnsi="微软雅黑" w:cs="宋体"/>
                <w:b/>
                <w:bCs/>
                <w:color w:val="FFFFFF" w:themeColor="background1"/>
                <w:kern w:val="0"/>
                <w:sz w:val="24"/>
                <w:szCs w:val="24"/>
              </w:rPr>
              <w:t xml:space="preserve">/</w:t>
            </w:r>
            <w:r>
              <w:rPr>
                <w:rFonts w:ascii="微软雅黑" w:eastAsia="微软雅黑" w:hAnsi="微软雅黑" w:cs="宋体" w:hint="eastAsia"/>
                <w:b/>
                <w:bCs/>
                <w:color w:val="FFFFFF" w:themeColor="background1"/>
                <w:kern w:val="0"/>
                <w:sz w:val="24"/>
                <w:szCs w:val="24"/>
              </w:rPr>
              <w:t xml:space="preserve">Date</w:t>
            </w:r>
          </w:p>
        </w:tc>
        <w:tc>
          <w:tcPr>
            <w:tcW w:w="7302" w:type="dxa"/>
            <w:gridSpan w:val="3"/>
            <w:vAlign w:val="center"/>
          </w:tcPr>
          <w:p>
            <w:pPr>
              <w:snapToGrid w:val="0"/>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2027年07月24日-25日  上海</w:t>
            </w:r>
          </w:p>
        </w:tc>
      </w:tr>
      <w:tr w:rsidTr="00032DE5">
        <w:trPr>
          <w:trHeight w:val="561"/>
        </w:trPr>
        <w:tc>
          <w:tcPr>
            <w:tcW w:w="2434" w:type="dxa"/>
            <w:shd w:val="clear" w:color="auto" w:fill="2E74B5"/>
            <w:vAlign w:val="center"/>
          </w:tcPr>
          <w:p>
            <w:pPr>
              <w:snapToGrid w:val="0"/>
              <w:ind w:left="210" w:leftChars="100"/>
              <w:jc w:val="left"/>
              <w:rPr>
                <w:rFonts w:ascii="微软雅黑" w:eastAsia="微软雅黑" w:hAnsi="微软雅黑" w:hint="eastAsia"/>
                <w:sz w:val="20"/>
                <w:szCs w:val="20"/>
              </w:rPr>
            </w:pPr>
            <w:r w:rsidRPr="00032DE5">
              <w:rPr>
                <w:rFonts w:ascii="微软雅黑" w:eastAsia="微软雅黑" w:hAnsi="微软雅黑" w:cs="宋体" w:hint="eastAsia"/>
                <w:b/>
                <w:bCs/>
                <w:color w:val="FFFFFF" w:themeColor="background1"/>
                <w:kern w:val="0"/>
                <w:sz w:val="24"/>
                <w:szCs w:val="24"/>
              </w:rPr>
              <w:t xml:space="preserve">讲师</w:t>
            </w:r>
            <w:r w:rsidRPr="00032DE5">
              <w:rPr>
                <w:rFonts w:ascii="微软雅黑" w:eastAsia="微软雅黑" w:hAnsi="微软雅黑" w:cs="宋体"/>
                <w:b/>
                <w:bCs/>
                <w:color w:val="FFFFFF" w:themeColor="background1"/>
                <w:kern w:val="0"/>
                <w:sz w:val="24"/>
                <w:szCs w:val="24"/>
              </w:rPr>
              <w:t xml:space="preserve">/Lecturer</w:t>
            </w:r>
          </w:p>
        </w:tc>
        <w:tc>
          <w:tcPr>
            <w:tcW w:w="2434" w:type="dxa"/>
            <w:vAlign w:val="center"/>
          </w:tcPr>
          <w:p>
            <w:pPr>
              <w:snapToGrid w:val="0"/>
              <w:jc w:val="center"/>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白老师</w:t>
            </w:r>
          </w:p>
        </w:tc>
        <w:tc>
          <w:tcPr>
            <w:tcW w:w="2434" w:type="dxa"/>
            <w:shd w:val="clear" w:color="auto" w:fill="2E74B5"/>
            <w:vAlign w:val="center"/>
          </w:tcPr>
          <w:p>
            <w:pPr>
              <w:snapToGrid w:val="0"/>
              <w:ind w:left="210" w:leftChars="100"/>
              <w:jc w:val="left"/>
              <w:rPr>
                <w:rFonts w:ascii="微软雅黑" w:eastAsia="微软雅黑" w:hAnsi="微软雅黑" w:hint="eastAsia"/>
                <w:color w:val="FFFFFF" w:themeColor="background1"/>
                <w:sz w:val="20"/>
                <w:szCs w:val="20"/>
              </w:rPr>
            </w:pPr>
            <w:r w:rsidRPr="00032DE5">
              <w:rPr>
                <w:rFonts w:ascii="微软雅黑" w:eastAsia="微软雅黑" w:hAnsi="微软雅黑" w:cs="宋体" w:hint="eastAsia"/>
                <w:b/>
                <w:bCs/>
                <w:color w:val="FFFFFF" w:themeColor="background1"/>
                <w:kern w:val="0"/>
                <w:sz w:val="24"/>
                <w:szCs w:val="24"/>
              </w:rPr>
              <w:t xml:space="preserve">费用</w:t>
            </w:r>
            <w:r w:rsidRPr="00032DE5">
              <w:rPr>
                <w:rFonts w:ascii="微软雅黑" w:eastAsia="微软雅黑" w:hAnsi="微软雅黑" w:cs="宋体"/>
                <w:b/>
                <w:bCs/>
                <w:color w:val="FFFFFF" w:themeColor="background1"/>
                <w:kern w:val="0"/>
                <w:sz w:val="24"/>
                <w:szCs w:val="24"/>
              </w:rPr>
              <w:t xml:space="preserve">/Price</w:t>
            </w:r>
          </w:p>
        </w:tc>
        <w:tc>
          <w:tcPr>
            <w:tcW w:w="2434" w:type="dxa"/>
            <w:vAlign w:val="center"/>
          </w:tcPr>
          <w:p>
            <w:pPr>
              <w:snapToGrid w:val="0"/>
              <w:jc w:val="center"/>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w:t>
            </w:r>
            <w:r w:rsidR="00AF106C">
              <w:rPr>
                <w:rFonts w:ascii="微软雅黑" w:eastAsia="微软雅黑" w:hAnsi="微软雅黑" w:cs="宋体" w:hint="eastAsia"/>
                <w:bCs/>
                <w:color w:val="404040" w:themeColor="text1" w:themeTint="BF"/>
                <w:kern w:val="0"/>
                <w:sz w:val="24"/>
                <w:szCs w:val="24"/>
              </w:rPr>
              <w:t xml:space="preserve">4800</w:t>
            </w:r>
            <w:r>
              <w:rPr>
                <w:rFonts w:ascii="微软雅黑" w:eastAsia="微软雅黑" w:hAnsi="微软雅黑" w:cs="宋体" w:hint="eastAsia"/>
                <w:bCs/>
                <w:color w:val="404040" w:themeColor="text1" w:themeTint="BF"/>
                <w:kern w:val="0"/>
                <w:sz w:val="24"/>
                <w:szCs w:val="24"/>
              </w:rPr>
              <w:t xml:space="preserve">元</w:t>
            </w:r>
            <w:r>
              <w:rPr>
                <w:rFonts w:ascii="微软雅黑" w:eastAsia="微软雅黑" w:hAnsi="微软雅黑" w:cs="宋体"/>
                <w:bCs/>
                <w:color w:val="404040" w:themeColor="text1" w:themeTint="BF"/>
                <w:kern w:val="0"/>
                <w:sz w:val="24"/>
                <w:szCs w:val="24"/>
              </w:rPr>
              <w:t xml:space="preserve">/</w:t>
            </w:r>
            <w:r>
              <w:rPr>
                <w:rFonts w:ascii="微软雅黑" w:eastAsia="微软雅黑" w:hAnsi="微软雅黑" w:cs="宋体" w:hint="eastAsia"/>
                <w:bCs/>
                <w:color w:val="404040" w:themeColor="text1" w:themeTint="BF"/>
                <w:kern w:val="0"/>
                <w:sz w:val="24"/>
                <w:szCs w:val="24"/>
              </w:rPr>
              <w:t xml:space="preserve">人</w:t>
            </w:r>
          </w:p>
        </w:tc>
      </w:tr>
    </w:tbl>
    <w:p>
      <w:pPr>
        <w:spacing w:before="156" w:beforeLines="50"/>
        <w:rPr>
          <w:rFonts w:ascii="楷体" w:eastAsia="楷体" w:hAnsi="楷体" w:cs="微软雅黑" w:hint="eastAsia"/>
          <w:bCs/>
          <w:color w:val="C00000"/>
          <w:sz w:val="20"/>
          <w:szCs w:val="20"/>
        </w:rPr>
      </w:pPr>
      <w:r>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 </w:t>
      </w:r>
      <w:r>
        <w:rPr>
          <w:rFonts w:ascii="楷体" w:eastAsia="楷体" w:hAnsi="楷体" w:cs="微软雅黑" w:hint="eastAsia"/>
          <w:bCs/>
          <w:color w:val="C00000"/>
          <w:sz w:val="20"/>
          <w:szCs w:val="20"/>
        </w:rPr>
        <w:t xml:space="preserve">说明</w:t>
      </w:r>
      <w:r w:rsidRPr="000A44FD">
        <w:rPr>
          <w:rFonts w:ascii="楷体" w:eastAsia="楷体" w:hAnsi="楷体" w:cs="微软雅黑" w:hint="eastAsia"/>
          <w:bCs/>
          <w:color w:val="C00000"/>
          <w:sz w:val="20"/>
          <w:szCs w:val="20"/>
        </w:rPr>
        <w:t xml:space="preserve">: </w:t>
      </w:r>
      <w:r>
        <w:rPr>
          <w:rFonts w:ascii="楷体" w:eastAsia="楷体" w:hAnsi="楷体" w:cs="微软雅黑" w:hint="eastAsia"/>
          <w:bCs/>
          <w:color w:val="C00000"/>
          <w:sz w:val="20"/>
          <w:szCs w:val="20"/>
        </w:rPr>
        <w:t xml:space="preserve">本课程大纲仅针对上述排期，其他排期的</w:t>
      </w:r>
      <w:r>
        <w:rPr>
          <w:rFonts w:ascii="楷体" w:eastAsia="楷体" w:hAnsi="楷体" w:cs="微软雅黑" w:hint="eastAsia"/>
          <w:bCs/>
          <w:color w:val="C00000"/>
          <w:sz w:val="20"/>
          <w:szCs w:val="20"/>
        </w:rPr>
        <w:t xml:space="preserve">课纲请另行</w:t>
      </w:r>
      <w:r>
        <w:rPr>
          <w:rFonts w:ascii="楷体" w:eastAsia="楷体" w:hAnsi="楷体" w:cs="微软雅黑" w:hint="eastAsia"/>
          <w:bCs/>
          <w:color w:val="C00000"/>
          <w:sz w:val="20"/>
          <w:szCs w:val="20"/>
        </w:rPr>
        <w:t xml:space="preserve">下载</w:t>
      </w:r>
      <w:r w:rsidR="00430CE0">
        <w:rPr>
          <w:rFonts w:ascii="楷体" w:eastAsia="楷体" w:hAnsi="楷体" w:cs="微软雅黑" w:hint="eastAsia"/>
          <w:bCs/>
          <w:color w:val="C00000"/>
          <w:sz w:val="20"/>
          <w:szCs w:val="20"/>
        </w:rPr>
        <w:t xml:space="preserve">后</w:t>
      </w:r>
      <w:r>
        <w:rPr>
          <w:rFonts w:ascii="楷体" w:eastAsia="楷体" w:hAnsi="楷体" w:cs="微软雅黑" w:hint="eastAsia"/>
          <w:bCs/>
          <w:color w:val="C00000"/>
          <w:sz w:val="20"/>
          <w:szCs w:val="20"/>
        </w:rPr>
        <w:t xml:space="preserve">查看。）</w:t>
      </w:r>
    </w:p>
    <w:p>
      <w:pPr>
        <w:snapToGrid w:val="0"/>
        <w:rPr>
          <w:rFonts w:ascii="微软雅黑" w:eastAsia="微软雅黑" w:hAnsi="微软雅黑" w:hint="eastAsia"/>
          <w:sz w:val="20"/>
          <w:szCs w:val="20"/>
        </w:rPr>
      </w:pPr>
    </w:p>
    <w:p>
      <w:pPr>
        <w:snapToGrid w:val="0"/>
        <w:spacing w:line="288" w:lineRule="auto"/>
        <w:rPr>
          <w:rFonts w:ascii="微软雅黑" w:eastAsia="微软雅黑" w:hAnsi="微软雅黑" w:cs="微软雅黑" w:hint="eastAsia"/>
          <w:color w:val="404040" w:themeColor="text1" w:themeTint="BF"/>
          <w:kern w:val="0"/>
          <w:sz w:val="20"/>
          <w:szCs w:val="20"/>
        </w:rPr>
      </w:pPr>
    </w:p>
    <w:p>
      <w:pPr>
        <w:snapToGrid w:val="0"/>
        <w:rPr>
          <w:rFonts w:ascii="微软雅黑" w:eastAsia="微软雅黑" w:hAnsi="微软雅黑" w:cs="微软雅黑" w:hint="eastAsia"/>
          <w:color w:val="2E74B5"/>
          <w:kern w:val="0"/>
          <w:sz w:val="20"/>
          <w:szCs w:val="20"/>
        </w:rPr>
      </w:pPr>
      <w:r>
        <w:rPr>
          <w:rFonts w:ascii="微软雅黑" w:eastAsia="微软雅黑" w:hAnsi="微软雅黑" w:cs="宋体" w:hint="eastAsia"/>
          <w:b/>
          <w:bCs/>
          <w:color w:val="2E74B5"/>
          <w:kern w:val="0"/>
          <w:sz w:val="26"/>
          <w:szCs w:val="26"/>
        </w:rPr>
        <w:t xml:space="preserve">全部</w:t>
      </w:r>
      <w:r w:rsidRPr="0069697E">
        <w:rPr>
          <w:rFonts w:ascii="微软雅黑" w:eastAsia="微软雅黑" w:hAnsi="微软雅黑" w:cs="宋体" w:hint="eastAsia"/>
          <w:b/>
          <w:bCs/>
          <w:color w:val="2E74B5"/>
          <w:kern w:val="0"/>
          <w:sz w:val="26"/>
          <w:szCs w:val="26"/>
        </w:rPr>
        <w:t xml:space="preserve">排期/</w:t>
      </w:r>
      <w:r w:rsidRPr="0069697E">
        <w:rPr>
          <w:rFonts w:ascii="微软雅黑" w:eastAsia="微软雅黑" w:hAnsi="微软雅黑" w:cs="宋体"/>
          <w:b/>
          <w:bCs/>
          <w:color w:val="2E74B5"/>
          <w:kern w:val="0"/>
          <w:sz w:val="26"/>
          <w:szCs w:val="26"/>
        </w:rPr>
        <w:t xml:space="preserve">Scheduling</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上海：2027年07月24日-25日（白老师）     </w:t>
      </w:r>
      <w:r w:rsidR="00000000">
        <w:rPr>
          <w:rFonts w:ascii="微软雅黑" w:eastAsia="微软雅黑" w:hAnsi="微软雅黑" w:cs="微软雅黑" w:hint="eastAsia"/>
          <w:bCs/>
          <w:color w:val="000000"/>
          <w:sz w:val="20"/>
        </w:rPr>
        <w:t xml:space="preserve">  </w:t>
      </w:r>
    </w:p>
    <w:p>
      <w:pPr>
        <w:rPr>
          <w:rFonts w:ascii="楷体" w:eastAsia="楷体" w:hAnsi="楷体" w:cs="微软雅黑" w:hint="eastAsia"/>
          <w:bCs/>
          <w:color w:val="C00000"/>
          <w:sz w:val="20"/>
          <w:szCs w:val="20"/>
        </w:rPr>
      </w:pPr>
      <w:r>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 </w:t>
      </w:r>
      <w:r w:rsidR="00F25D4E">
        <w:rPr>
          <w:rFonts w:ascii="楷体" w:eastAsia="楷体" w:hAnsi="楷体" w:cs="微软雅黑" w:hint="eastAsia"/>
          <w:bCs/>
          <w:color w:val="C00000"/>
          <w:sz w:val="20"/>
          <w:szCs w:val="20"/>
        </w:rPr>
        <w:t xml:space="preserve">特别提醒</w:t>
      </w:r>
      <w:r w:rsidR="00430CE0">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不同城市不同场次的授课讲师及大纲可能有差异，具体请</w:t>
      </w:r>
      <w:r w:rsidR="00EC7ACA">
        <w:rPr>
          <w:rFonts w:ascii="楷体" w:eastAsia="楷体" w:hAnsi="楷体" w:cs="微软雅黑" w:hint="eastAsia"/>
          <w:bCs/>
          <w:color w:val="C00000"/>
          <w:sz w:val="20"/>
          <w:szCs w:val="20"/>
        </w:rPr>
        <w:t xml:space="preserve">务必</w:t>
      </w:r>
      <w:r w:rsidR="00E17E8D">
        <w:rPr>
          <w:rFonts w:ascii="楷体" w:eastAsia="楷体" w:hAnsi="楷体" w:cs="微软雅黑" w:hint="eastAsia"/>
          <w:bCs/>
          <w:color w:val="C00000"/>
          <w:sz w:val="20"/>
          <w:szCs w:val="20"/>
        </w:rPr>
        <w:t xml:space="preserve">参照</w:t>
      </w:r>
      <w:r w:rsidRPr="000A44FD">
        <w:rPr>
          <w:rFonts w:ascii="楷体" w:eastAsia="楷体" w:hAnsi="楷体" w:cs="微软雅黑" w:hint="eastAsia"/>
          <w:bCs/>
          <w:color w:val="C00000"/>
          <w:sz w:val="20"/>
          <w:szCs w:val="20"/>
        </w:rPr>
        <w:t xml:space="preserve">对应场次的课程大纲内容。</w:t>
      </w:r>
      <w:r>
        <w:rPr>
          <w:rFonts w:ascii="楷体" w:eastAsia="楷体" w:hAnsi="楷体" w:cs="微软雅黑" w:hint="eastAsia"/>
          <w:bCs/>
          <w:color w:val="C00000"/>
          <w:sz w:val="20"/>
          <w:szCs w:val="20"/>
        </w:rPr>
        <w:t xml:space="preserve">）</w:t>
      </w:r>
    </w:p>
    <w:p>
      <w:pPr>
        <w:rPr>
          <w:rFonts w:hint="eastAsia"/>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课程概述/Overview</w:t>
      </w:r>
    </w:p>
    <w:p>
      <w:pPr/>
      <w:r>
        <w:rPr>
          <w:rFonts w:ascii="微软雅黑" w:eastAsia="微软雅黑" w:hAnsi="微软雅黑" w:cs="微软雅黑"/>
          <w:b/>
          <w:color w:val="000000"/>
          <w:sz w:val="22"/>
        </w:rPr>
        <w:t xml:space="preserve">【课程背景】</w:t>
      </w:r>
    </w:p>
    <w:p>
      <w:pPr>
        <w:rPr/>
      </w:pPr>
      <w:r>
        <w:rPr>
          <w:rFonts w:ascii="微软雅黑" w:eastAsia="微软雅黑" w:hAnsi="微软雅黑" w:cs="微软雅黑"/>
          <w:sz w:val="20"/>
        </w:rPr>
        <w:t xml:space="preserve">当下组织呈现了强有力的竞争力。组织的力量源于诸多方面，例如组织文化，组织架构、组织流程等。有效组织诊断，才能够帮助组织选择正确发展方式，支持业务全面提升，推动企业可持续长期健康发展。因此，对于认清组织，识别组织能力成为一个复杂的过程，如何全面理解组织战略、经营策略、组织结构和形态、组织管理流程？ 对于组织发展实践者而言，如何掌握OD必备的诊断能力，如何将调查分析的结果转化成具体且可执行的方法？</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【课程亮点】</w:t>
      </w:r>
    </w:p>
    <w:p>
      <w:pPr>
        <w:rPr/>
      </w:pPr>
      <w:r>
        <w:rPr>
          <w:rFonts w:ascii="微软雅黑" w:eastAsia="微软雅黑" w:hAnsi="微软雅黑" w:cs="微软雅黑"/>
          <w:sz w:val="20"/>
        </w:rPr>
        <w:t xml:space="preserve">1.</w:t>
        <w:tab/>
        <w:t xml:space="preserve">明晰组织诊断的概念和原理：包括组织诊断本质、场景、重要性以及诊断的方法与流程。</w:t>
      </w:r>
    </w:p>
    <w:p>
      <w:pPr>
        <w:rPr/>
      </w:pPr>
      <w:r>
        <w:rPr>
          <w:rFonts w:ascii="微软雅黑" w:eastAsia="微软雅黑" w:hAnsi="微软雅黑" w:cs="微软雅黑"/>
          <w:sz w:val="20"/>
        </w:rPr>
        <w:t xml:space="preserve">2.</w:t>
        <w:tab/>
        <w:t xml:space="preserve">深入详解组织模型逻辑维度：探讨组织诊断模型内在逻辑，起源和适用企业。</w:t>
      </w:r>
    </w:p>
    <w:p>
      <w:pPr>
        <w:rPr/>
      </w:pPr>
      <w:r>
        <w:rPr>
          <w:rFonts w:ascii="微软雅黑" w:eastAsia="微软雅黑" w:hAnsi="微软雅黑" w:cs="微软雅黑"/>
          <w:sz w:val="20"/>
        </w:rPr>
        <w:t xml:space="preserve">3.</w:t>
        <w:tab/>
        <w:t xml:space="preserve">剖析组织诊断方法和工具：深入学习各种组织诊断的方法和工具，如问卷调查、访谈、数据分析等，以及如何选择和应用适当的方法和工具。</w:t>
      </w:r>
    </w:p>
    <w:p>
      <w:pPr>
        <w:rPr/>
      </w:pPr>
      <w:r>
        <w:rPr>
          <w:rFonts w:ascii="微软雅黑" w:eastAsia="微软雅黑" w:hAnsi="微软雅黑" w:cs="微软雅黑"/>
          <w:sz w:val="20"/>
        </w:rPr>
        <w:t xml:space="preserve">4.</w:t>
        <w:tab/>
        <w:t xml:space="preserve">驾驭组织数据收集和分析：学习如何收集和分析组织的数据，包括内部数据和外部数据，形成比对逻辑，挖掘更深入信息。</w:t>
      </w:r>
    </w:p>
    <w:p>
      <w:pPr>
        <w:rPr/>
      </w:pPr>
      <w:r>
        <w:rPr>
          <w:rFonts w:ascii="微软雅黑" w:eastAsia="微软雅黑" w:hAnsi="微软雅黑" w:cs="微软雅黑"/>
          <w:sz w:val="20"/>
        </w:rPr>
        <w:t xml:space="preserve">5. 精准问题识别和解决方案：透过数据，学习如何识别组织中存在的问题，并提出相应的解决方案。</w:t>
      </w:r>
    </w:p>
    <w:p>
      <w:pPr>
        <w:rPr/>
      </w:pPr>
      <w:r>
        <w:rPr>
          <w:rFonts w:ascii="微软雅黑" w:eastAsia="微软雅黑" w:hAnsi="微软雅黑" w:cs="微软雅黑"/>
          <w:sz w:val="20"/>
        </w:rPr>
        <w:t xml:space="preserve">6.</w:t>
        <w:tab/>
        <w:t xml:space="preserve">呈现清晰沟通和报告：学习如何有效地与组织成员沟通诊断结果，并撰写清晰、准确的诊断报告。</w:t>
      </w:r>
    </w:p>
    <w:p>
      <w:pPr>
        <w:rPr/>
      </w:pPr>
      <w:r>
        <w:rPr>
          <w:rFonts w:ascii="微软雅黑" w:eastAsia="微软雅黑" w:hAnsi="微软雅黑" w:cs="微软雅黑"/>
          <w:sz w:val="20"/>
        </w:rPr>
        <w:t xml:space="preserve">7.</w:t>
        <w:tab/>
        <w:t xml:space="preserve">研讨案例分析和实践：通过实际案例分析和模拟练习，让学习者有机会将所学知识应用到实际情况中。</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【课程输出】</w:t>
      </w:r>
    </w:p>
    <w:p>
      <w:pPr>
        <w:rPr/>
      </w:pPr>
      <w:r>
        <w:rPr>
          <w:rFonts w:ascii="微软雅黑" w:eastAsia="微软雅黑" w:hAnsi="微软雅黑" w:cs="微软雅黑"/>
          <w:sz w:val="20"/>
        </w:rPr>
        <w:t xml:space="preserve">组织建模、组织诊断问题清单、组织诊断模型（组织能力杨三角、六个盒子、7S模型、盖洛普问卷）、组织指标诊断方法、组织模块诊断方法、组织业务能力诊断方法、组织职能诊断方法、组织汇报线诊断方法、组织诊断报告模板</w:t>
      </w:r>
    </w:p>
    <w:p>
      <w:pPr>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课程大纲/Outline</w:t>
      </w:r>
      <w:r/>
    </w:p>
    <w:p>
      <w:pPr>
        <w:rPr/>
      </w:pPr>
      <w:r>
        <w:rPr>
          <w:rFonts w:ascii="微软雅黑" w:eastAsia="微软雅黑" w:hAnsi="微软雅黑" w:cs="微软雅黑"/>
          <w:b/>
          <w:color w:val="000000"/>
          <w:sz w:val="22"/>
        </w:rPr>
        <w:t xml:space="preserve">1st Day 组织诊断模型精讲细练</w:t>
      </w:r>
    </w:p>
    <w:p>
      <w:pPr>
        <w:rPr/>
      </w:pPr>
      <w:r>
        <w:rPr>
          <w:rFonts w:ascii="微软雅黑" w:eastAsia="微软雅黑" w:hAnsi="微软雅黑" w:cs="微软雅黑"/>
          <w:b/>
          <w:color w:val="000000"/>
          <w:sz w:val="22"/>
        </w:rPr>
        <w:t xml:space="preserve">模块一、探求本质：组织诊断的理念与应用时机</w:t>
      </w:r>
    </w:p>
    <w:p>
      <w:pPr>
        <w:rPr/>
      </w:pPr>
      <w:r>
        <w:rPr>
          <w:rFonts w:ascii="微软雅黑" w:eastAsia="微软雅黑" w:hAnsi="微软雅黑" w:cs="微软雅黑"/>
          <w:sz w:val="20"/>
        </w:rPr>
        <w:t xml:space="preserve">案例：衡量事物的指标——生活和企业诊断方式</w:t>
      </w:r>
    </w:p>
    <w:p>
      <w:pPr>
        <w:rPr/>
      </w:pPr>
      <w:r>
        <w:rPr>
          <w:rFonts w:ascii="微软雅黑" w:eastAsia="微软雅黑" w:hAnsi="微软雅黑" w:cs="微软雅黑"/>
          <w:sz w:val="20"/>
        </w:rPr>
        <w:t xml:space="preserve">一、组织诊断的本质</w:t>
      </w:r>
    </w:p>
    <w:p>
      <w:pPr>
        <w:rPr/>
      </w:pPr>
      <w:r>
        <w:rPr>
          <w:rFonts w:ascii="微软雅黑" w:eastAsia="微软雅黑" w:hAnsi="微软雅黑" w:cs="微软雅黑"/>
          <w:sz w:val="20"/>
        </w:rPr>
        <w:t xml:space="preserve">1、个人的健康与体检</w:t>
      </w:r>
    </w:p>
    <w:p>
      <w:pPr>
        <w:rPr/>
      </w:pPr>
      <w:r>
        <w:rPr>
          <w:rFonts w:ascii="微软雅黑" w:eastAsia="微软雅黑" w:hAnsi="微软雅黑" w:cs="微软雅黑"/>
          <w:sz w:val="20"/>
        </w:rPr>
        <w:t xml:space="preserve">2、组织的健康与体检</w:t>
      </w:r>
    </w:p>
    <w:p>
      <w:pPr>
        <w:rPr/>
      </w:pPr>
      <w:r>
        <w:rPr>
          <w:rFonts w:ascii="微软雅黑" w:eastAsia="微软雅黑" w:hAnsi="微软雅黑" w:cs="微软雅黑"/>
          <w:sz w:val="20"/>
        </w:rPr>
        <w:t xml:space="preserve">二、组织诊断前的衡量</w:t>
      </w:r>
    </w:p>
    <w:p>
      <w:pPr>
        <w:rPr/>
      </w:pPr>
      <w:r>
        <w:rPr>
          <w:rFonts w:ascii="微软雅黑" w:eastAsia="微软雅黑" w:hAnsi="微软雅黑" w:cs="微软雅黑"/>
          <w:sz w:val="20"/>
        </w:rPr>
        <w:t xml:space="preserve">1、组织诊断前的4大分析是？</w:t>
      </w:r>
    </w:p>
    <w:p>
      <w:pPr>
        <w:rPr/>
      </w:pPr>
      <w:r>
        <w:rPr>
          <w:rFonts w:ascii="微软雅黑" w:eastAsia="微软雅黑" w:hAnsi="微软雅黑" w:cs="微软雅黑"/>
          <w:sz w:val="20"/>
        </w:rPr>
        <w:t xml:space="preserve">2、组织诊断前的结果设计是？</w:t>
      </w:r>
    </w:p>
    <w:p>
      <w:pPr>
        <w:rPr/>
      </w:pPr>
      <w:r>
        <w:rPr>
          <w:rFonts w:ascii="微软雅黑" w:eastAsia="微软雅黑" w:hAnsi="微软雅黑" w:cs="微软雅黑"/>
          <w:sz w:val="20"/>
        </w:rPr>
        <w:t xml:space="preserve">三、组织诊断的常规和临时</w:t>
      </w:r>
    </w:p>
    <w:p>
      <w:pPr>
        <w:rPr/>
      </w:pPr>
      <w:r>
        <w:rPr>
          <w:rFonts w:ascii="微软雅黑" w:eastAsia="微软雅黑" w:hAnsi="微软雅黑" w:cs="微软雅黑"/>
          <w:sz w:val="20"/>
        </w:rPr>
        <w:t xml:space="preserve">1、每年都做组织诊断么？</w:t>
      </w:r>
    </w:p>
    <w:p>
      <w:pPr>
        <w:rPr/>
      </w:pPr>
      <w:r>
        <w:rPr>
          <w:rFonts w:ascii="微软雅黑" w:eastAsia="微软雅黑" w:hAnsi="微软雅黑" w:cs="微软雅黑"/>
          <w:sz w:val="20"/>
        </w:rPr>
        <w:t xml:space="preserve">2、临时要做组织诊断如何操作？</w:t>
      </w:r>
    </w:p>
    <w:p>
      <w:pPr>
        <w:rPr/>
      </w:pPr>
      <w:r>
        <w:rPr>
          <w:rFonts w:ascii="微软雅黑" w:eastAsia="微软雅黑" w:hAnsi="微软雅黑" w:cs="微软雅黑"/>
          <w:sz w:val="20"/>
        </w:rPr>
        <w:t xml:space="preserve">3、初创期、发展期、成熟期和衰退期组织诊断重点是什么？</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模块二：模型精讲：组织诊断5大流行工具</w:t>
      </w:r>
    </w:p>
    <w:p>
      <w:pPr>
        <w:rPr/>
      </w:pPr>
      <w:r>
        <w:rPr>
          <w:rFonts w:ascii="微软雅黑" w:eastAsia="微软雅黑" w:hAnsi="微软雅黑" w:cs="微软雅黑"/>
          <w:sz w:val="20"/>
        </w:rPr>
        <w:t xml:space="preserve">一、模型：组织能力杨三角</w:t>
      </w:r>
    </w:p>
    <w:p>
      <w:pPr>
        <w:rPr/>
      </w:pPr>
      <w:r>
        <w:rPr>
          <w:rFonts w:ascii="微软雅黑" w:eastAsia="微软雅黑" w:hAnsi="微软雅黑" w:cs="微软雅黑"/>
          <w:sz w:val="20"/>
        </w:rPr>
        <w:t xml:space="preserve">1、组织能力诊断方法论及适用场景</w:t>
      </w:r>
    </w:p>
    <w:p>
      <w:pPr>
        <w:rPr/>
      </w:pPr>
      <w:r>
        <w:rPr>
          <w:rFonts w:ascii="微软雅黑" w:eastAsia="微软雅黑" w:hAnsi="微软雅黑" w:cs="微软雅黑"/>
          <w:sz w:val="20"/>
        </w:rPr>
        <w:t xml:space="preserve">2、组织能力该如何理解？</w:t>
      </w:r>
    </w:p>
    <w:p>
      <w:pPr>
        <w:rPr/>
      </w:pPr>
      <w:r>
        <w:rPr>
          <w:rFonts w:ascii="微软雅黑" w:eastAsia="微软雅黑" w:hAnsi="微软雅黑" w:cs="微软雅黑"/>
          <w:sz w:val="20"/>
        </w:rPr>
        <w:t xml:space="preserve">3、如何判断一家企业的组织能力？</w:t>
      </w:r>
    </w:p>
    <w:p>
      <w:pPr>
        <w:rPr/>
      </w:pPr>
      <w:r>
        <w:rPr>
          <w:rFonts w:ascii="微软雅黑" w:eastAsia="微软雅黑" w:hAnsi="微软雅黑" w:cs="微软雅黑"/>
          <w:sz w:val="20"/>
        </w:rPr>
        <w:t xml:space="preserve">6、诊断点：员工思维的价值观与行为准则</w:t>
      </w:r>
    </w:p>
    <w:p>
      <w:pPr>
        <w:rPr/>
      </w:pPr>
      <w:r>
        <w:rPr>
          <w:rFonts w:ascii="微软雅黑" w:eastAsia="微软雅黑" w:hAnsi="微软雅黑" w:cs="微软雅黑"/>
          <w:sz w:val="20"/>
        </w:rPr>
        <w:t xml:space="preserve">7、诊断点：员工治理架构、流程与信息化</w:t>
      </w:r>
    </w:p>
    <w:p>
      <w:pPr>
        <w:rPr/>
      </w:pPr>
      <w:r>
        <w:rPr>
          <w:rFonts w:ascii="微软雅黑" w:eastAsia="微软雅黑" w:hAnsi="微软雅黑" w:cs="微软雅黑"/>
          <w:sz w:val="20"/>
        </w:rPr>
        <w:t xml:space="preserve">8、诊断点：员工能力的领导梯队与关键员工</w:t>
      </w:r>
    </w:p>
    <w:p>
      <w:pPr>
        <w:rPr/>
      </w:pPr>
      <w:r>
        <w:rPr>
          <w:rFonts w:ascii="微软雅黑" w:eastAsia="微软雅黑" w:hAnsi="微软雅黑" w:cs="微软雅黑"/>
          <w:sz w:val="20"/>
        </w:rPr>
        <w:t xml:space="preserve">9、实操：组织能力问卷调研与标杆对比</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二、模型：六个盒子</w:t>
      </w:r>
    </w:p>
    <w:p>
      <w:pPr>
        <w:rPr/>
      </w:pPr>
      <w:r>
        <w:rPr>
          <w:rFonts w:ascii="微软雅黑" w:eastAsia="微软雅黑" w:hAnsi="微软雅黑" w:cs="微软雅黑"/>
          <w:sz w:val="20"/>
        </w:rPr>
        <w:t xml:space="preserve">1、六个盒子的诞生与适用场景</w:t>
      </w:r>
    </w:p>
    <w:p>
      <w:pPr>
        <w:rPr/>
      </w:pPr>
      <w:r>
        <w:rPr>
          <w:rFonts w:ascii="微软雅黑" w:eastAsia="微软雅黑" w:hAnsi="微软雅黑" w:cs="微软雅黑"/>
          <w:sz w:val="20"/>
        </w:rPr>
        <w:t xml:space="preserve">2、基于六个盒子的35道问题</w:t>
      </w:r>
    </w:p>
    <w:p>
      <w:pPr>
        <w:rPr/>
      </w:pPr>
      <w:r>
        <w:rPr>
          <w:rFonts w:ascii="微软雅黑" w:eastAsia="微软雅黑" w:hAnsi="微软雅黑" w:cs="微软雅黑"/>
          <w:sz w:val="20"/>
        </w:rPr>
        <w:t xml:space="preserve">3、ODQ背景和解释</w:t>
      </w:r>
    </w:p>
    <w:p>
      <w:pPr>
        <w:rPr/>
      </w:pPr>
      <w:r>
        <w:rPr>
          <w:rFonts w:ascii="微软雅黑" w:eastAsia="微软雅黑" w:hAnsi="微软雅黑" w:cs="微软雅黑"/>
          <w:sz w:val="20"/>
        </w:rPr>
        <w:t xml:space="preserve">4、访谈的3个阶段</w:t>
      </w:r>
    </w:p>
    <w:p>
      <w:pPr>
        <w:rPr/>
      </w:pPr>
      <w:r>
        <w:rPr>
          <w:rFonts w:ascii="微软雅黑" w:eastAsia="微软雅黑" w:hAnsi="微软雅黑" w:cs="微软雅黑"/>
          <w:sz w:val="20"/>
        </w:rPr>
        <w:t xml:space="preserve">5、六个盒子访谈问题设计</w:t>
      </w:r>
    </w:p>
    <w:p>
      <w:pPr>
        <w:rPr/>
      </w:pPr>
      <w:r>
        <w:rPr>
          <w:rFonts w:ascii="微软雅黑" w:eastAsia="微软雅黑" w:hAnsi="微软雅黑" w:cs="微软雅黑"/>
          <w:sz w:val="20"/>
        </w:rPr>
        <w:t xml:space="preserve">6、阿里的六个盒子应用</w:t>
      </w:r>
    </w:p>
    <w:p>
      <w:pPr>
        <w:rPr/>
      </w:pPr>
      <w:r>
        <w:rPr>
          <w:rFonts w:ascii="微软雅黑" w:eastAsia="微软雅黑" w:hAnsi="微软雅黑" w:cs="微软雅黑"/>
          <w:sz w:val="20"/>
        </w:rPr>
        <w:t xml:space="preserve">7、六个盒子工作坊操作流程和要点</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三、模型：7S模型</w:t>
      </w:r>
    </w:p>
    <w:p>
      <w:pPr>
        <w:rPr/>
      </w:pPr>
      <w:r>
        <w:rPr>
          <w:rFonts w:ascii="微软雅黑" w:eastAsia="微软雅黑" w:hAnsi="微软雅黑" w:cs="微软雅黑"/>
          <w:sz w:val="20"/>
        </w:rPr>
        <w:t xml:space="preserve">1、7S模型特点及适用场景</w:t>
      </w:r>
    </w:p>
    <w:p>
      <w:pPr>
        <w:rPr/>
      </w:pPr>
      <w:r>
        <w:rPr>
          <w:rFonts w:ascii="微软雅黑" w:eastAsia="微软雅黑" w:hAnsi="微软雅黑" w:cs="微软雅黑"/>
          <w:sz w:val="20"/>
        </w:rPr>
        <w:t xml:space="preserve">2、7大维度的主要逻辑</w:t>
      </w:r>
    </w:p>
    <w:p>
      <w:pPr>
        <w:rPr/>
      </w:pPr>
      <w:r>
        <w:rPr>
          <w:rFonts w:ascii="微软雅黑" w:eastAsia="微软雅黑" w:hAnsi="微软雅黑" w:cs="微软雅黑"/>
          <w:sz w:val="20"/>
        </w:rPr>
        <w:t xml:space="preserve">3、7大维度分项讲解</w:t>
      </w:r>
    </w:p>
    <w:p>
      <w:pPr>
        <w:rPr/>
      </w:pPr>
      <w:r>
        <w:rPr>
          <w:rFonts w:ascii="微软雅黑" w:eastAsia="微软雅黑" w:hAnsi="微软雅黑" w:cs="微软雅黑"/>
          <w:sz w:val="20"/>
        </w:rPr>
        <w:t xml:space="preserve">4、7S模型的4步实现法</w:t>
      </w:r>
    </w:p>
    <w:p>
      <w:pPr>
        <w:rPr/>
      </w:pPr>
      <w:r>
        <w:rPr>
          <w:rFonts w:ascii="微软雅黑" w:eastAsia="微软雅黑" w:hAnsi="微软雅黑" w:cs="微软雅黑"/>
          <w:sz w:val="20"/>
        </w:rPr>
        <w:t xml:space="preserve">5、7S模型的硬件和软件比较</w:t>
      </w:r>
    </w:p>
    <w:p>
      <w:pPr>
        <w:rPr/>
      </w:pPr>
      <w:r>
        <w:rPr>
          <w:rFonts w:ascii="微软雅黑" w:eastAsia="微软雅黑" w:hAnsi="微软雅黑" w:cs="微软雅黑"/>
          <w:sz w:val="20"/>
        </w:rPr>
        <w:t xml:space="preserve">6、访谈方法与调查问卷结合</w:t>
      </w:r>
    </w:p>
    <w:p>
      <w:pPr>
        <w:rPr/>
      </w:pPr>
      <w:r>
        <w:rPr>
          <w:rFonts w:ascii="微软雅黑" w:eastAsia="微软雅黑" w:hAnsi="微软雅黑" w:cs="微软雅黑"/>
          <w:sz w:val="20"/>
        </w:rPr>
        <w:t xml:space="preserve">7、数据统计分析方法</w:t>
      </w:r>
    </w:p>
    <w:p>
      <w:pPr>
        <w:rPr/>
      </w:pPr>
      <w:r>
        <w:rPr>
          <w:rFonts w:ascii="微软雅黑" w:eastAsia="微软雅黑" w:hAnsi="微软雅黑" w:cs="微软雅黑"/>
          <w:sz w:val="20"/>
        </w:rPr>
        <w:t xml:space="preserve">8、实操：7S问卷调研与报告制作</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四、模型：盖洛普Q12</w:t>
      </w:r>
    </w:p>
    <w:p>
      <w:pPr>
        <w:rPr/>
      </w:pPr>
      <w:r>
        <w:rPr>
          <w:rFonts w:ascii="微软雅黑" w:eastAsia="微软雅黑" w:hAnsi="微软雅黑" w:cs="微软雅黑"/>
          <w:sz w:val="20"/>
        </w:rPr>
        <w:t xml:space="preserve">1、什么是盖洛普路径及适用场景</w:t>
      </w:r>
    </w:p>
    <w:p>
      <w:pPr>
        <w:rPr/>
      </w:pPr>
      <w:r>
        <w:rPr>
          <w:rFonts w:ascii="微软雅黑" w:eastAsia="微软雅黑" w:hAnsi="微软雅黑" w:cs="微软雅黑"/>
          <w:sz w:val="20"/>
        </w:rPr>
        <w:t xml:space="preserve">2、Q12问题分为哪四个层次？</w:t>
      </w:r>
    </w:p>
    <w:p>
      <w:pPr>
        <w:rPr/>
      </w:pPr>
      <w:r>
        <w:rPr>
          <w:rFonts w:ascii="微软雅黑" w:eastAsia="微软雅黑" w:hAnsi="微软雅黑" w:cs="微软雅黑"/>
          <w:sz w:val="20"/>
        </w:rPr>
        <w:t xml:space="preserve">3、Q12调查的高山病和亚高山病</w:t>
      </w:r>
    </w:p>
    <w:p>
      <w:pPr>
        <w:rPr/>
      </w:pPr>
      <w:r>
        <w:rPr>
          <w:rFonts w:ascii="微软雅黑" w:eastAsia="微软雅黑" w:hAnsi="微软雅黑" w:cs="微软雅黑"/>
          <w:sz w:val="20"/>
        </w:rPr>
        <w:t xml:space="preserve">4、组织氛围数据分析</w:t>
      </w:r>
    </w:p>
    <w:p>
      <w:pPr>
        <w:rPr/>
      </w:pPr>
      <w:r>
        <w:rPr>
          <w:rFonts w:ascii="微软雅黑" w:eastAsia="微软雅黑" w:hAnsi="微软雅黑" w:cs="微软雅黑"/>
          <w:sz w:val="20"/>
        </w:rPr>
        <w:t xml:space="preserve">5、开设一场成功的IMPACT计划会</w:t>
      </w:r>
    </w:p>
    <w:p>
      <w:pPr>
        <w:rPr/>
      </w:pPr>
      <w:r>
        <w:rPr>
          <w:rFonts w:ascii="微软雅黑" w:eastAsia="微软雅黑" w:hAnsi="微软雅黑" w:cs="微软雅黑"/>
          <w:sz w:val="20"/>
        </w:rPr>
        <w:t xml:space="preserve">6、问卷法的信度和效度</w:t>
      </w:r>
    </w:p>
    <w:p>
      <w:pPr>
        <w:rPr/>
      </w:pPr>
      <w:r>
        <w:rPr>
          <w:rFonts w:ascii="微软雅黑" w:eastAsia="微软雅黑" w:hAnsi="微软雅黑" w:cs="微软雅黑"/>
          <w:sz w:val="20"/>
        </w:rPr>
        <w:t xml:space="preserve">7、实操：设计一套问卷</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五、模型：业务领先BLM模型</w:t>
      </w:r>
    </w:p>
    <w:p>
      <w:pPr>
        <w:rPr/>
      </w:pPr>
      <w:r>
        <w:rPr>
          <w:rFonts w:ascii="微软雅黑" w:eastAsia="微软雅黑" w:hAnsi="微软雅黑" w:cs="微软雅黑"/>
          <w:sz w:val="20"/>
        </w:rPr>
        <w:t xml:space="preserve">1、从战略制定到战略执行的闭环解码管理</w:t>
      </w:r>
    </w:p>
    <w:p>
      <w:pPr>
        <w:rPr/>
      </w:pPr>
      <w:r>
        <w:rPr>
          <w:rFonts w:ascii="微软雅黑" w:eastAsia="微软雅黑" w:hAnsi="微软雅黑" w:cs="微软雅黑"/>
          <w:sz w:val="20"/>
        </w:rPr>
        <w:t xml:space="preserve">2、华为的BLM模型运用</w:t>
      </w:r>
    </w:p>
    <w:p>
      <w:pPr>
        <w:rPr/>
      </w:pPr>
      <w:r>
        <w:rPr>
          <w:rFonts w:ascii="微软雅黑" w:eastAsia="微软雅黑" w:hAnsi="微软雅黑" w:cs="微软雅黑"/>
          <w:sz w:val="20"/>
        </w:rPr>
        <w:t xml:space="preserve">3、关注两种差距：业绩差距和机会差距</w:t>
      </w:r>
    </w:p>
    <w:p>
      <w:pPr>
        <w:rPr/>
      </w:pPr>
      <w:r>
        <w:rPr>
          <w:rFonts w:ascii="微软雅黑" w:eastAsia="微软雅黑" w:hAnsi="微软雅黑" w:cs="微软雅黑"/>
          <w:sz w:val="20"/>
        </w:rPr>
        <w:t xml:space="preserve">4、宏观、竞争、客户、自身资源四大市场洞察</w:t>
      </w:r>
    </w:p>
    <w:p>
      <w:pPr>
        <w:rPr/>
      </w:pPr>
      <w:r>
        <w:rPr>
          <w:rFonts w:ascii="微软雅黑" w:eastAsia="微软雅黑" w:hAnsi="微软雅黑" w:cs="微软雅黑"/>
          <w:sz w:val="20"/>
        </w:rPr>
        <w:t xml:space="preserve">5、聚焦与定位的战略意图</w:t>
      </w:r>
    </w:p>
    <w:p>
      <w:pPr>
        <w:rPr/>
      </w:pPr>
      <w:r>
        <w:rPr>
          <w:rFonts w:ascii="微软雅黑" w:eastAsia="微软雅黑" w:hAnsi="微软雅黑" w:cs="微软雅黑"/>
          <w:sz w:val="20"/>
        </w:rPr>
        <w:t xml:space="preserve">6、基于地平线理论的创新焦点</w:t>
      </w:r>
    </w:p>
    <w:p>
      <w:pPr>
        <w:rPr/>
      </w:pPr>
      <w:r>
        <w:rPr>
          <w:rFonts w:ascii="微软雅黑" w:eastAsia="微软雅黑" w:hAnsi="微软雅黑" w:cs="微软雅黑"/>
          <w:sz w:val="20"/>
        </w:rPr>
        <w:t xml:space="preserve">7、客户选择与价值主张的业务设计</w:t>
      </w:r>
    </w:p>
    <w:p>
      <w:pPr>
        <w:rPr/>
      </w:pPr>
      <w:r>
        <w:rPr>
          <w:rFonts w:ascii="微软雅黑" w:eastAsia="微软雅黑" w:hAnsi="微软雅黑" w:cs="微软雅黑"/>
          <w:sz w:val="20"/>
        </w:rPr>
        <w:t xml:space="preserve">8、关键任务卡片的设计</w:t>
      </w:r>
    </w:p>
    <w:p>
      <w:pPr>
        <w:rPr/>
      </w:pPr>
      <w:r>
        <w:rPr>
          <w:rFonts w:ascii="微软雅黑" w:eastAsia="微软雅黑" w:hAnsi="微软雅黑" w:cs="微软雅黑"/>
          <w:sz w:val="20"/>
        </w:rPr>
        <w:t xml:space="preserve">9、文化、组织、人才、领导力、价值观5大战略支持</w:t>
      </w:r>
    </w:p>
    <w:p>
      <w:pPr>
        <w:rPr/>
      </w:pPr>
      <w:r>
        <w:rPr>
          <w:rFonts w:ascii="微软雅黑" w:eastAsia="微软雅黑" w:hAnsi="微软雅黑" w:cs="微软雅黑"/>
          <w:sz w:val="20"/>
        </w:rPr>
        <w:t xml:space="preserve">10、实操：职能部门对BLM共创中的职责</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2nd Day 专项诊断方法实操技能</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模块三、从凌乱中找规律的建模技能</w:t>
      </w:r>
    </w:p>
    <w:p>
      <w:pPr>
        <w:rPr/>
      </w:pPr>
      <w:r>
        <w:rPr>
          <w:rFonts w:ascii="微软雅黑" w:eastAsia="微软雅黑" w:hAnsi="微软雅黑" w:cs="微软雅黑"/>
          <w:sz w:val="20"/>
        </w:rPr>
        <w:t xml:space="preserve">一、组织指标诊断</w:t>
      </w:r>
    </w:p>
    <w:p>
      <w:pPr>
        <w:rPr/>
      </w:pPr>
      <w:r>
        <w:rPr>
          <w:rFonts w:ascii="微软雅黑" w:eastAsia="微软雅黑" w:hAnsi="微软雅黑" w:cs="微软雅黑"/>
          <w:sz w:val="20"/>
        </w:rPr>
        <w:t xml:space="preserve">1、组织诊断指标方法及衡量方式 </w:t>
      </w:r>
    </w:p>
    <w:p>
      <w:pPr>
        <w:rPr/>
      </w:pPr>
      <w:r>
        <w:rPr>
          <w:rFonts w:ascii="微软雅黑" w:eastAsia="微软雅黑" w:hAnsi="微软雅黑" w:cs="微软雅黑"/>
          <w:sz w:val="20"/>
        </w:rPr>
        <w:t xml:space="preserve">2、定义组织模型</w:t>
      </w:r>
    </w:p>
    <w:p>
      <w:pPr>
        <w:rPr/>
      </w:pPr>
      <w:r>
        <w:rPr>
          <w:rFonts w:ascii="微软雅黑" w:eastAsia="微软雅黑" w:hAnsi="微软雅黑" w:cs="微软雅黑"/>
          <w:sz w:val="20"/>
        </w:rPr>
        <w:t xml:space="preserve">3、建立评估流程</w:t>
      </w:r>
    </w:p>
    <w:p>
      <w:pPr>
        <w:rPr/>
      </w:pPr>
      <w:r>
        <w:rPr>
          <w:rFonts w:ascii="微软雅黑" w:eastAsia="微软雅黑" w:hAnsi="微软雅黑" w:cs="微软雅黑"/>
          <w:sz w:val="20"/>
        </w:rPr>
        <w:t xml:space="preserve">4、为管理改进提供领导力支持</w:t>
      </w:r>
    </w:p>
    <w:p>
      <w:pPr>
        <w:rPr/>
      </w:pPr>
      <w:r>
        <w:rPr>
          <w:rFonts w:ascii="微软雅黑" w:eastAsia="微软雅黑" w:hAnsi="微软雅黑" w:cs="微软雅黑"/>
          <w:sz w:val="20"/>
        </w:rPr>
        <w:t xml:space="preserve">5、设定人力资源行动方案优先顺序</w:t>
      </w:r>
    </w:p>
    <w:p>
      <w:pPr>
        <w:rPr/>
      </w:pPr>
      <w:r>
        <w:rPr>
          <w:rFonts w:ascii="微软雅黑" w:eastAsia="微软雅黑" w:hAnsi="微软雅黑" w:cs="微软雅黑"/>
          <w:sz w:val="20"/>
        </w:rPr>
        <w:t xml:space="preserve">6、实操：14项组织能力指标及衡量方式</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二、组织行为诊断</w:t>
      </w:r>
    </w:p>
    <w:p>
      <w:pPr>
        <w:rPr/>
      </w:pPr>
      <w:r>
        <w:rPr>
          <w:rFonts w:ascii="微软雅黑" w:eastAsia="微软雅黑" w:hAnsi="微软雅黑" w:cs="微软雅黑"/>
          <w:sz w:val="20"/>
        </w:rPr>
        <w:t xml:space="preserve">1、《组织行为学》一书核心</w:t>
      </w:r>
    </w:p>
    <w:p>
      <w:pPr>
        <w:rPr/>
      </w:pPr>
      <w:r>
        <w:rPr>
          <w:rFonts w:ascii="微软雅黑" w:eastAsia="微软雅黑" w:hAnsi="微软雅黑" w:cs="微软雅黑"/>
          <w:sz w:val="20"/>
        </w:rPr>
        <w:t xml:space="preserve">2、组织行为四个常用变量</w:t>
      </w:r>
    </w:p>
    <w:p>
      <w:pPr>
        <w:rPr/>
      </w:pPr>
      <w:r>
        <w:rPr>
          <w:rFonts w:ascii="微软雅黑" w:eastAsia="微软雅黑" w:hAnsi="微软雅黑" w:cs="微软雅黑"/>
          <w:sz w:val="20"/>
        </w:rPr>
        <w:t xml:space="preserve">3、招聘行为诊断过程</w:t>
      </w:r>
    </w:p>
    <w:p>
      <w:pPr>
        <w:rPr/>
      </w:pPr>
      <w:r>
        <w:rPr>
          <w:rFonts w:ascii="微软雅黑" w:eastAsia="微软雅黑" w:hAnsi="微软雅黑" w:cs="微软雅黑"/>
          <w:sz w:val="20"/>
        </w:rPr>
        <w:t xml:space="preserve">4、案例：治理结构诊断</w:t>
      </w:r>
    </w:p>
    <w:p>
      <w:pPr>
        <w:rPr/>
      </w:pPr>
      <w:r>
        <w:rPr>
          <w:rFonts w:ascii="微软雅黑" w:eastAsia="微软雅黑" w:hAnsi="微软雅黑" w:cs="微软雅黑"/>
          <w:sz w:val="20"/>
        </w:rPr>
        <w:t xml:space="preserve">5、案例：组织中五大行为诊断详解</w:t>
      </w:r>
    </w:p>
    <w:p>
      <w:pPr>
        <w:rPr/>
      </w:pPr>
      <w:r>
        <w:rPr>
          <w:rFonts w:ascii="微软雅黑" w:eastAsia="微软雅黑" w:hAnsi="微软雅黑" w:cs="微软雅黑"/>
          <w:sz w:val="20"/>
        </w:rPr>
        <w:t xml:space="preserve">6、实操：组织激励诊断案例解读</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模块四、业务职能流程诊断实操技能</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三、组织模块诊断</w:t>
      </w:r>
    </w:p>
    <w:p>
      <w:pPr>
        <w:rPr/>
      </w:pPr>
      <w:r>
        <w:rPr>
          <w:rFonts w:ascii="微软雅黑" w:eastAsia="微软雅黑" w:hAnsi="微软雅黑" w:cs="微软雅黑"/>
          <w:sz w:val="20"/>
        </w:rPr>
        <w:t xml:space="preserve">1、方法：企业组织诊断四维度</w:t>
      </w:r>
    </w:p>
    <w:p>
      <w:pPr>
        <w:rPr/>
      </w:pPr>
      <w:r>
        <w:rPr>
          <w:rFonts w:ascii="微软雅黑" w:eastAsia="微软雅黑" w:hAnsi="微软雅黑" w:cs="微软雅黑"/>
          <w:sz w:val="20"/>
        </w:rPr>
        <w:t xml:space="preserve">2、四个子维度设计与要素设计</w:t>
      </w:r>
    </w:p>
    <w:p>
      <w:pPr>
        <w:rPr/>
      </w:pPr>
      <w:r>
        <w:rPr>
          <w:rFonts w:ascii="微软雅黑" w:eastAsia="微软雅黑" w:hAnsi="微软雅黑" w:cs="微软雅黑"/>
          <w:sz w:val="20"/>
        </w:rPr>
        <w:t xml:space="preserve">3、问卷数据分析</w:t>
      </w:r>
    </w:p>
    <w:p>
      <w:pPr>
        <w:rPr/>
      </w:pPr>
      <w:r>
        <w:rPr>
          <w:rFonts w:ascii="微软雅黑" w:eastAsia="微软雅黑" w:hAnsi="微软雅黑" w:cs="微软雅黑"/>
          <w:sz w:val="20"/>
        </w:rPr>
        <w:t xml:space="preserve">4、实操：应用均方差展示模块调研结果</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四、组织业务能力诊断</w:t>
      </w:r>
    </w:p>
    <w:p>
      <w:pPr>
        <w:rPr/>
      </w:pPr>
      <w:r>
        <w:rPr>
          <w:rFonts w:ascii="微软雅黑" w:eastAsia="微软雅黑" w:hAnsi="微软雅黑" w:cs="微软雅黑"/>
          <w:sz w:val="20"/>
        </w:rPr>
        <w:t xml:space="preserve">1、业务能力诊断概念及适用场景</w:t>
      </w:r>
    </w:p>
    <w:p>
      <w:pPr>
        <w:rPr/>
      </w:pPr>
      <w:r>
        <w:rPr>
          <w:rFonts w:ascii="微软雅黑" w:eastAsia="微软雅黑" w:hAnsi="微软雅黑" w:cs="微软雅黑"/>
          <w:sz w:val="20"/>
        </w:rPr>
        <w:t xml:space="preserve">2、第一步：设计业务能力模型</w:t>
      </w:r>
    </w:p>
    <w:p>
      <w:pPr>
        <w:rPr/>
      </w:pPr>
      <w:r>
        <w:rPr>
          <w:rFonts w:ascii="微软雅黑" w:eastAsia="微软雅黑" w:hAnsi="微软雅黑" w:cs="微软雅黑"/>
          <w:sz w:val="20"/>
        </w:rPr>
        <w:t xml:space="preserve">3、第二步：业务能力评估标准</w:t>
      </w:r>
    </w:p>
    <w:p>
      <w:pPr>
        <w:rPr/>
      </w:pPr>
      <w:r>
        <w:rPr>
          <w:rFonts w:ascii="微软雅黑" w:eastAsia="微软雅黑" w:hAnsi="微软雅黑" w:cs="微软雅黑"/>
          <w:sz w:val="20"/>
        </w:rPr>
        <w:t xml:space="preserve">4、案例：人力资源业务能力评估</w:t>
      </w:r>
    </w:p>
    <w:p>
      <w:pPr>
        <w:rPr/>
      </w:pPr>
      <w:r>
        <w:rPr>
          <w:rFonts w:ascii="微软雅黑" w:eastAsia="微软雅黑" w:hAnsi="微软雅黑" w:cs="微软雅黑"/>
          <w:sz w:val="20"/>
        </w:rPr>
        <w:t xml:space="preserve">5、案例：财务管理业务能力评估</w:t>
      </w:r>
    </w:p>
    <w:p>
      <w:pPr>
        <w:rPr/>
      </w:pPr>
      <w:r>
        <w:rPr>
          <w:rFonts w:ascii="微软雅黑" w:eastAsia="微软雅黑" w:hAnsi="微软雅黑" w:cs="微软雅黑"/>
          <w:sz w:val="20"/>
        </w:rPr>
        <w:t xml:space="preserve">6、第三步：诊断发展汇总</w:t>
      </w:r>
    </w:p>
    <w:p>
      <w:pPr>
        <w:rPr/>
      </w:pPr>
      <w:r>
        <w:rPr>
          <w:rFonts w:ascii="微软雅黑" w:eastAsia="微软雅黑" w:hAnsi="微软雅黑" w:cs="微软雅黑"/>
          <w:sz w:val="20"/>
        </w:rPr>
        <w:t xml:space="preserve">7、第四步：策略、管控、流程／制度、系统／工具四方面差距</w:t>
      </w:r>
    </w:p>
    <w:p>
      <w:pPr>
        <w:rPr/>
      </w:pPr>
      <w:r>
        <w:rPr>
          <w:rFonts w:ascii="微软雅黑" w:eastAsia="微软雅黑" w:hAnsi="微软雅黑" w:cs="微软雅黑"/>
          <w:sz w:val="20"/>
        </w:rPr>
        <w:t xml:space="preserve">8、实操：业务能力诊断</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五、组织职能诊断</w:t>
      </w:r>
    </w:p>
    <w:p>
      <w:pPr>
        <w:rPr/>
      </w:pPr>
      <w:r>
        <w:rPr>
          <w:rFonts w:ascii="微软雅黑" w:eastAsia="微软雅黑" w:hAnsi="微软雅黑" w:cs="微软雅黑"/>
          <w:sz w:val="20"/>
        </w:rPr>
        <w:t xml:space="preserve">1、组织职能现象及诊断实施适用场景</w:t>
      </w:r>
    </w:p>
    <w:p>
      <w:pPr>
        <w:rPr/>
      </w:pPr>
      <w:r>
        <w:rPr>
          <w:rFonts w:ascii="微软雅黑" w:eastAsia="微软雅黑" w:hAnsi="微软雅黑" w:cs="微软雅黑"/>
          <w:sz w:val="20"/>
        </w:rPr>
        <w:t xml:space="preserve">2、组织职能诊断四维度</w:t>
      </w:r>
    </w:p>
    <w:p>
      <w:pPr>
        <w:rPr/>
      </w:pPr>
      <w:r>
        <w:rPr>
          <w:rFonts w:ascii="微软雅黑" w:eastAsia="微软雅黑" w:hAnsi="微软雅黑" w:cs="微软雅黑"/>
          <w:sz w:val="20"/>
        </w:rPr>
        <w:t xml:space="preserve">3、案例：人力资源部职能诊断</w:t>
      </w:r>
    </w:p>
    <w:p>
      <w:pPr>
        <w:rPr/>
      </w:pPr>
      <w:r>
        <w:rPr>
          <w:rFonts w:ascii="微软雅黑" w:eastAsia="微软雅黑" w:hAnsi="微软雅黑" w:cs="微软雅黑"/>
          <w:sz w:val="20"/>
        </w:rPr>
        <w:t xml:space="preserve">4、案例：关键职能诊断</w:t>
      </w:r>
    </w:p>
    <w:p>
      <w:pPr>
        <w:rPr/>
      </w:pPr>
      <w:r>
        <w:rPr>
          <w:rFonts w:ascii="微软雅黑" w:eastAsia="微软雅黑" w:hAnsi="微软雅黑" w:cs="微软雅黑"/>
          <w:sz w:val="20"/>
        </w:rPr>
        <w:t xml:space="preserve">5、实操：绘制组织架构及各部门职能诊断</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六、组织汇报线诊断</w:t>
      </w:r>
    </w:p>
    <w:p>
      <w:pPr>
        <w:rPr/>
      </w:pPr>
      <w:r>
        <w:rPr>
          <w:rFonts w:ascii="微软雅黑" w:eastAsia="微软雅黑" w:hAnsi="微软雅黑" w:cs="微软雅黑"/>
          <w:sz w:val="20"/>
        </w:rPr>
        <w:t xml:space="preserve">1、汇报线的三大主要问题</w:t>
      </w:r>
    </w:p>
    <w:p>
      <w:pPr>
        <w:rPr/>
      </w:pPr>
      <w:r>
        <w:rPr>
          <w:rFonts w:ascii="微软雅黑" w:eastAsia="微软雅黑" w:hAnsi="微软雅黑" w:cs="微软雅黑"/>
          <w:sz w:val="20"/>
        </w:rPr>
        <w:t xml:space="preserve">2、汇报线问题两大解决思路</w:t>
      </w:r>
    </w:p>
    <w:p>
      <w:pPr>
        <w:rPr/>
      </w:pPr>
      <w:r>
        <w:rPr>
          <w:rFonts w:ascii="微软雅黑" w:eastAsia="微软雅黑" w:hAnsi="微软雅黑" w:cs="微软雅黑"/>
          <w:sz w:val="20"/>
        </w:rPr>
        <w:t xml:space="preserve">3、汇报线诊断适用场景</w:t>
      </w:r>
    </w:p>
    <w:p>
      <w:pPr>
        <w:rPr/>
      </w:pPr>
      <w:r>
        <w:rPr>
          <w:rFonts w:ascii="微软雅黑" w:eastAsia="微软雅黑" w:hAnsi="微软雅黑" w:cs="微软雅黑"/>
          <w:sz w:val="20"/>
        </w:rPr>
        <w:t xml:space="preserve">4、层级结构及汇报关系现状</w:t>
      </w:r>
    </w:p>
    <w:p>
      <w:pPr>
        <w:rPr/>
      </w:pPr>
      <w:r>
        <w:rPr>
          <w:rFonts w:ascii="微软雅黑" w:eastAsia="微软雅黑" w:hAnsi="微软雅黑" w:cs="微软雅黑"/>
          <w:sz w:val="20"/>
        </w:rPr>
        <w:t xml:space="preserve">5、职能管理控制线</w:t>
      </w:r>
    </w:p>
    <w:p>
      <w:pPr>
        <w:rPr/>
      </w:pPr>
      <w:r>
        <w:rPr>
          <w:rFonts w:ascii="微软雅黑" w:eastAsia="微软雅黑" w:hAnsi="微软雅黑" w:cs="微软雅黑"/>
          <w:sz w:val="20"/>
        </w:rPr>
        <w:t xml:space="preserve">6、实操：绘制汇报线并进行诊断</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七、组织流程诊断</w:t>
      </w:r>
    </w:p>
    <w:p>
      <w:pPr>
        <w:rPr/>
      </w:pPr>
      <w:r>
        <w:rPr>
          <w:rFonts w:ascii="微软雅黑" w:eastAsia="微软雅黑" w:hAnsi="微软雅黑" w:cs="微软雅黑"/>
          <w:sz w:val="20"/>
        </w:rPr>
        <w:t xml:space="preserve">一、流程综合诊断 </w:t>
      </w:r>
    </w:p>
    <w:p>
      <w:pPr>
        <w:rPr/>
      </w:pPr>
      <w:r>
        <w:rPr>
          <w:rFonts w:ascii="微软雅黑" w:eastAsia="微软雅黑" w:hAnsi="微软雅黑" w:cs="微软雅黑"/>
          <w:sz w:val="20"/>
        </w:rPr>
        <w:t xml:space="preserve">1、案例：财务资源管理流程检查分析图</w:t>
      </w:r>
    </w:p>
    <w:p>
      <w:pPr>
        <w:rPr/>
      </w:pPr>
      <w:r>
        <w:rPr>
          <w:rFonts w:ascii="微软雅黑" w:eastAsia="微软雅黑" w:hAnsi="微软雅黑" w:cs="微软雅黑"/>
          <w:sz w:val="20"/>
        </w:rPr>
        <w:t xml:space="preserve">2、企业流程常见问题责任主体归类</w:t>
      </w:r>
    </w:p>
    <w:p>
      <w:pPr>
        <w:rPr/>
      </w:pPr>
      <w:r>
        <w:rPr>
          <w:rFonts w:ascii="微软雅黑" w:eastAsia="微软雅黑" w:hAnsi="微软雅黑" w:cs="微软雅黑"/>
          <w:sz w:val="20"/>
        </w:rPr>
        <w:t xml:space="preserve">3、问卷调查与访谈</w:t>
      </w:r>
    </w:p>
    <w:p>
      <w:pPr>
        <w:rPr/>
      </w:pPr>
      <w:r>
        <w:rPr>
          <w:rFonts w:ascii="微软雅黑" w:eastAsia="微软雅黑" w:hAnsi="微软雅黑" w:cs="微软雅黑"/>
          <w:sz w:val="20"/>
        </w:rPr>
        <w:t xml:space="preserve">4、案例：招投标流程分析</w:t>
      </w:r>
    </w:p>
    <w:p>
      <w:pPr>
        <w:rPr/>
      </w:pPr>
      <w:r>
        <w:rPr>
          <w:rFonts w:ascii="微软雅黑" w:eastAsia="微软雅黑" w:hAnsi="微软雅黑" w:cs="微软雅黑"/>
          <w:sz w:val="20"/>
        </w:rPr>
        <w:t xml:space="preserve">5、案例：流程细化预期结果</w:t>
      </w:r>
    </w:p>
    <w:p>
      <w:pPr>
        <w:rPr/>
      </w:pPr>
      <w:r>
        <w:rPr>
          <w:rFonts w:ascii="微软雅黑" w:eastAsia="微软雅黑" w:hAnsi="微软雅黑" w:cs="微软雅黑"/>
          <w:sz w:val="20"/>
        </w:rPr>
        <w:t xml:space="preserve">二、流程图诊断</w:t>
      </w:r>
    </w:p>
    <w:p>
      <w:pPr>
        <w:rPr/>
      </w:pPr>
      <w:r>
        <w:rPr>
          <w:rFonts w:ascii="微软雅黑" w:eastAsia="微软雅黑" w:hAnsi="微软雅黑" w:cs="微软雅黑"/>
          <w:sz w:val="20"/>
        </w:rPr>
        <w:t xml:space="preserve">1、流程符号标准</w:t>
      </w:r>
    </w:p>
    <w:p>
      <w:pPr>
        <w:rPr/>
      </w:pPr>
      <w:r>
        <w:rPr>
          <w:rFonts w:ascii="微软雅黑" w:eastAsia="微软雅黑" w:hAnsi="微软雅黑" w:cs="微软雅黑"/>
          <w:sz w:val="20"/>
        </w:rPr>
        <w:t xml:space="preserve">2、流程图编制的基本要求</w:t>
      </w:r>
    </w:p>
    <w:p>
      <w:pPr>
        <w:rPr/>
      </w:pPr>
      <w:r>
        <w:rPr>
          <w:rFonts w:ascii="微软雅黑" w:eastAsia="微软雅黑" w:hAnsi="微软雅黑" w:cs="微软雅黑"/>
          <w:sz w:val="20"/>
        </w:rPr>
        <w:t xml:space="preserve">三、流程增值性诊断</w:t>
      </w:r>
    </w:p>
    <w:p>
      <w:pPr>
        <w:rPr/>
      </w:pPr>
      <w:r>
        <w:rPr>
          <w:rFonts w:ascii="微软雅黑" w:eastAsia="微软雅黑" w:hAnsi="微软雅黑" w:cs="微软雅黑"/>
          <w:sz w:val="20"/>
        </w:rPr>
        <w:t xml:space="preserve">1、增值活动与非增值活动</w:t>
      </w:r>
    </w:p>
    <w:p>
      <w:pPr>
        <w:rPr/>
      </w:pPr>
      <w:r>
        <w:rPr>
          <w:rFonts w:ascii="微软雅黑" w:eastAsia="微软雅黑" w:hAnsi="微软雅黑" w:cs="微软雅黑"/>
          <w:sz w:val="20"/>
        </w:rPr>
        <w:t xml:space="preserve">2、优化流程要解决四大问题</w:t>
      </w:r>
    </w:p>
    <w:p>
      <w:pPr>
        <w:rPr/>
      </w:pPr>
      <w:r>
        <w:rPr>
          <w:rFonts w:ascii="微软雅黑" w:eastAsia="微软雅黑" w:hAnsi="微软雅黑" w:cs="微软雅黑"/>
          <w:sz w:val="20"/>
        </w:rPr>
        <w:t xml:space="preserve">3、减少流程非增值活动四大方法</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模块五：输出组织诊断报告</w:t>
      </w:r>
    </w:p>
    <w:p>
      <w:pPr>
        <w:rPr/>
      </w:pPr>
      <w:r>
        <w:rPr>
          <w:rFonts w:ascii="微软雅黑" w:eastAsia="微软雅黑" w:hAnsi="微软雅黑" w:cs="微软雅黑"/>
          <w:sz w:val="20"/>
        </w:rPr>
        <w:t xml:space="preserve">1、设计组织诊断报告大纲</w:t>
      </w:r>
    </w:p>
    <w:p>
      <w:pPr>
        <w:rPr/>
      </w:pPr>
      <w:r>
        <w:rPr>
          <w:rFonts w:ascii="微软雅黑" w:eastAsia="微软雅黑" w:hAnsi="微软雅黑" w:cs="微软雅黑"/>
          <w:sz w:val="20"/>
        </w:rPr>
        <w:t xml:space="preserve">2、聚焦具体问题</w:t>
      </w:r>
    </w:p>
    <w:p>
      <w:pPr>
        <w:rPr/>
      </w:pPr>
      <w:r>
        <w:rPr>
          <w:rFonts w:ascii="微软雅黑" w:eastAsia="微软雅黑" w:hAnsi="微软雅黑" w:cs="微软雅黑"/>
          <w:sz w:val="20"/>
        </w:rPr>
        <w:t xml:space="preserve">3、形成论据和论证</w:t>
      </w:r>
    </w:p>
    <w:p>
      <w:pPr>
        <w:rPr/>
      </w:pPr>
      <w:r>
        <w:rPr>
          <w:rFonts w:ascii="微软雅黑" w:eastAsia="微软雅黑" w:hAnsi="微软雅黑" w:cs="微软雅黑"/>
          <w:sz w:val="20"/>
        </w:rPr>
        <w:t xml:space="preserve">4、生成报告</w:t>
      </w:r>
    </w:p>
    <w:p>
      <w:pPr>
        <w:rPr/>
      </w:pPr>
      <w:r>
        <w:rPr>
          <w:rFonts w:ascii="微软雅黑" w:eastAsia="微软雅黑" w:hAnsi="微软雅黑" w:cs="微软雅黑"/>
          <w:sz w:val="20"/>
        </w:rPr>
        <w:t xml:space="preserve">5、校验与发布</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总结提纲，复盘回顾</w:t>
      </w:r>
    </w:p>
    <w:p>
      <w:pPr>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讲师介绍/Lecturer</w:t>
      </w:r>
      <w:r/>
    </w:p>
    <w:p>
      <w:pPr>
        <w:rPr/>
      </w:pPr>
      <w:r>
        <w:rPr>
          <w:rFonts w:ascii="微软雅黑" w:eastAsia="微软雅黑" w:hAnsi="微软雅黑" w:cs="微软雅黑"/>
          <w:b/>
          <w:color w:val="000000"/>
          <w:sz w:val="22"/>
        </w:rPr>
        <w:t xml:space="preserve">白老师</w:t>
      </w:r>
    </w:p>
    <w:p>
      <w:pPr>
        <w:rPr/>
      </w:pPr>
      <w:r>
        <w:rPr>
          <w:rFonts w:ascii="微软雅黑" w:eastAsia="微软雅黑" w:hAnsi="微软雅黑" w:cs="微软雅黑"/>
          <w:sz w:val="20"/>
        </w:rPr>
        <w:t xml:space="preserve">• 组织人才发展专家</w:t>
      </w:r>
    </w:p>
    <w:p>
      <w:pPr>
        <w:rPr/>
      </w:pPr>
      <w:r>
        <w:rPr>
          <w:rFonts w:ascii="微软雅黑" w:eastAsia="微软雅黑" w:hAnsi="微软雅黑" w:cs="微软雅黑"/>
          <w:sz w:val="20"/>
        </w:rPr>
        <w:t xml:space="preserve">• 上市公司组织发展总监</w:t>
      </w:r>
    </w:p>
    <w:p>
      <w:pPr>
        <w:rPr/>
      </w:pPr>
      <w:r>
        <w:rPr>
          <w:rFonts w:ascii="微软雅黑" w:eastAsia="微软雅黑" w:hAnsi="微软雅黑" w:cs="微软雅黑"/>
          <w:sz w:val="20"/>
        </w:rPr>
        <w:t xml:space="preserve">• ODTD培训讲师</w:t>
      </w:r>
    </w:p>
    <w:p>
      <w:pPr>
        <w:rPr/>
      </w:pPr>
      <w:r>
        <w:rPr>
          <w:rFonts w:ascii="微软雅黑" w:eastAsia="微软雅黑" w:hAnsi="微软雅黑" w:cs="微软雅黑"/>
          <w:sz w:val="20"/>
        </w:rPr>
        <w:t xml:space="preserve">• 畅销书作者、《首席人才官商业与管理评论》金牌作者</w:t>
      </w:r>
    </w:p>
    <w:p>
      <w:pPr>
        <w:rPr/>
      </w:pPr>
      <w:r>
        <w:rPr>
          <w:rFonts w:ascii="微软雅黑" w:eastAsia="微软雅黑" w:hAnsi="微软雅黑" w:cs="微软雅黑"/>
          <w:sz w:val="20"/>
        </w:rPr>
        <w:t xml:space="preserve">• 中国人力资源实践创新（企业）评选评审</w:t>
      </w:r>
    </w:p>
    <w:p>
      <w:pPr>
        <w:rPr/>
      </w:pPr>
      <w:r>
        <w:rPr>
          <w:rFonts w:ascii="微软雅黑" w:eastAsia="微软雅黑" w:hAnsi="微软雅黑" w:cs="微软雅黑"/>
          <w:sz w:val="20"/>
        </w:rPr>
        <w:t xml:space="preserve">• 投资咨询公司高级合伙人</w:t>
      </w:r>
    </w:p>
    <w:p>
      <w:pPr>
        <w:rPr/>
      </w:pPr>
      <w:r>
        <w:rPr>
          <w:rFonts w:ascii="微软雅黑" w:eastAsia="微软雅黑" w:hAnsi="微软雅黑" w:cs="微软雅黑"/>
          <w:sz w:val="20"/>
        </w:rPr>
        <w:t xml:space="preserve">• 人力资源高级咨询师</w:t>
      </w:r>
    </w:p>
    <w:p>
      <w:pPr>
        <w:rPr/>
      </w:pPr>
      <w:r>
        <w:rPr>
          <w:rFonts w:ascii="微软雅黑" w:eastAsia="微软雅黑" w:hAnsi="微软雅黑" w:cs="微软雅黑"/>
          <w:sz w:val="20"/>
        </w:rPr>
        <w:t xml:space="preserve">• 中国人力资源开发研究会理事</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经验背景</w:t>
      </w:r>
    </w:p>
    <w:p>
      <w:pPr>
        <w:rPr/>
      </w:pPr>
      <w:r>
        <w:rPr>
          <w:rFonts w:ascii="微软雅黑" w:eastAsia="微软雅黑" w:hAnsi="微软雅黑" w:cs="微软雅黑"/>
          <w:sz w:val="20"/>
        </w:rPr>
        <w:t xml:space="preserve">白老师国外大学MBA学位，拥有外资和内资企业管理工作经验和国际和国内咨询背景。对企业的战略管理、组织管控、组织发展、组织设计、绩效管理、薪酬激励、人才发展等方面有前瞻性理解和全面的咨询实践。对于如何根据企业的经营战略帮助企业进行组织转型和构建高绩效组织的领域，具有深入的洞察和成功的经验。</w:t>
      </w:r>
    </w:p>
    <w:p>
      <w:pPr>
        <w:rPr/>
      </w:pPr>
      <w:r>
        <w:rPr>
          <w:rFonts w:ascii="微软雅黑" w:eastAsia="微软雅黑" w:hAnsi="微软雅黑" w:cs="微软雅黑"/>
          <w:sz w:val="20"/>
        </w:rPr>
        <w:t xml:space="preserve">曾多年游历海外，结交多位来自日本、澳大利亚等国的管理学大师，共同致力于管理史的研究，探求企业发展的过去和未来。</w:t>
      </w:r>
    </w:p>
    <w:p>
      <w:pPr>
        <w:rPr/>
      </w:pPr>
      <w:r>
        <w:rPr>
          <w:rFonts w:ascii="微软雅黑" w:eastAsia="微软雅黑" w:hAnsi="微软雅黑" w:cs="微软雅黑"/>
          <w:sz w:val="20"/>
        </w:rPr>
        <w:t xml:space="preserve">白老师授课风格热情、生动、幽默，深入浅出，能将西方先进的知识体系和管理理念与中国的实际情况有机结合，课程内容具有极强的实用性和实操性。</w:t>
      </w:r>
    </w:p>
    <w:p>
      <w:pPr>
        <w:rPr/>
      </w:pPr>
      <w:r>
        <w:rPr>
          <w:rFonts w:ascii="微软雅黑" w:eastAsia="微软雅黑" w:hAnsi="微软雅黑" w:cs="微软雅黑"/>
          <w:sz w:val="20"/>
        </w:rPr>
        <w:t xml:space="preserve">精通现代企业管理，曾经在国内和国际知名管理咨询公司担任合伙人，先后为多家企业提供过内训及管理咨询服务，涉及领域为战略管理、股权激励、组织发展、绩效管理、薪酬激励等。涉及行业有金融、地产、互联网、互联网金融、IT、制造、连锁、餐饮和旅游地产等。</w:t>
      </w:r>
    </w:p>
    <w:p>
      <w:pPr>
        <w:rPr/>
      </w:pPr>
      <w:r>
        <w:rPr>
          <w:rFonts w:ascii="微软雅黑" w:eastAsia="微软雅黑" w:hAnsi="微软雅黑" w:cs="微软雅黑"/>
          <w:sz w:val="20"/>
        </w:rPr>
        <w:t xml:space="preserve">之后又在国内大型上市公司、金融投资集团任组织发展总监等高级管理岗位。具有百亿级上市集团公司总部的组织发展总监的管理、决策经验。擅长公司顶层战略设计与内外资源的协调重构，在公司内外部结构优化与治理方面拥有丰富的实操管理经验，擅于梳理解决大中型企业子集团/控股公司经营管理过程中遇到的实际问题。经历投后管理、并购人力资源管理、战略澄清、组织再造、业绩评估模型、人才盘点、绩效管理体系等重点项目实施。主导并参与制定企业发展战略。牵头搭建《集团战略纲领》《组织发展手册》《集团制度汇编》《企业文化手册》《流程手册》，并且提供信息支持及战略规划，参与收购、兼并项目，主导集团层面全流程，圆满推动并完成组织发展变革。指导各成员企业完善组织发展职能，创新组织建设理论和工具，保证组织建设工作完全支撑企业战略和业务。对子公司进行业绩评价、组织评估和推行多层次的激励管理。</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主讲品牌课程</w:t>
      </w:r>
    </w:p>
    <w:p>
      <w:pPr>
        <w:rPr/>
      </w:pPr>
      <w:r>
        <w:rPr>
          <w:rFonts w:ascii="微软雅黑" w:eastAsia="微软雅黑" w:hAnsi="微软雅黑" w:cs="微软雅黑"/>
          <w:sz w:val="20"/>
        </w:rPr>
        <w:t xml:space="preserve">1.《OD组织发展与组织设计方略》</w:t>
      </w:r>
    </w:p>
    <w:p>
      <w:pPr>
        <w:rPr/>
      </w:pPr>
      <w:r>
        <w:rPr>
          <w:rFonts w:ascii="微软雅黑" w:eastAsia="微软雅黑" w:hAnsi="微软雅黑" w:cs="微软雅黑"/>
          <w:sz w:val="20"/>
        </w:rPr>
        <w:t xml:space="preserve">2.《5方法+7模式组织诊断实践技能》</w:t>
      </w:r>
    </w:p>
    <w:p>
      <w:pPr>
        <w:rPr/>
      </w:pPr>
      <w:r>
        <w:rPr>
          <w:rFonts w:ascii="微软雅黑" w:eastAsia="微软雅黑" w:hAnsi="微软雅黑" w:cs="微软雅黑"/>
          <w:sz w:val="20"/>
        </w:rPr>
        <w:t xml:space="preserve">3.《组织设计与业务流程再造》</w:t>
      </w:r>
    </w:p>
    <w:p>
      <w:pPr>
        <w:rPr/>
      </w:pPr>
      <w:r>
        <w:rPr>
          <w:rFonts w:ascii="微软雅黑" w:eastAsia="微软雅黑" w:hAnsi="微软雅黑" w:cs="微软雅黑"/>
          <w:sz w:val="20"/>
        </w:rPr>
        <w:t xml:space="preserve">4.《八步法引导式组织改革实战》</w:t>
      </w:r>
    </w:p>
    <w:p>
      <w:pPr>
        <w:rPr/>
      </w:pPr>
      <w:r>
        <w:rPr>
          <w:rFonts w:ascii="微软雅黑" w:eastAsia="微软雅黑" w:hAnsi="微软雅黑" w:cs="微软雅黑"/>
          <w:sz w:val="20"/>
        </w:rPr>
        <w:t xml:space="preserve">5.《岗位胜任力模型与任职资格体系》</w:t>
      </w:r>
    </w:p>
    <w:p>
      <w:pPr>
        <w:rPr/>
      </w:pPr>
      <w:r>
        <w:rPr>
          <w:rFonts w:ascii="微软雅黑" w:eastAsia="微软雅黑" w:hAnsi="微软雅黑" w:cs="微软雅黑"/>
          <w:sz w:val="20"/>
        </w:rPr>
        <w:t xml:space="preserve">6.《战略共创与战略管理技能修炼》</w:t>
      </w:r>
    </w:p>
    <w:p>
      <w:pPr>
        <w:rPr/>
      </w:pPr>
      <w:r>
        <w:rPr>
          <w:rFonts w:ascii="微软雅黑" w:eastAsia="微软雅黑" w:hAnsi="微软雅黑" w:cs="微软雅黑"/>
          <w:sz w:val="20"/>
        </w:rPr>
        <w:t xml:space="preserve">7.《从人才标准到学习地图的设计》</w:t>
      </w:r>
    </w:p>
    <w:p>
      <w:pPr>
        <w:rPr/>
      </w:pPr>
      <w:r>
        <w:rPr>
          <w:rFonts w:ascii="微软雅黑" w:eastAsia="微软雅黑" w:hAnsi="微软雅黑" w:cs="微软雅黑"/>
          <w:sz w:val="20"/>
        </w:rPr>
        <w:t xml:space="preserve">8.《企业组织能力提升与人才发展》</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主要著作</w:t>
      </w:r>
    </w:p>
    <w:p>
      <w:pPr>
        <w:rPr/>
      </w:pPr>
      <w:r>
        <w:rPr>
          <w:rFonts w:ascii="微软雅黑" w:eastAsia="微软雅黑" w:hAnsi="微软雅黑" w:cs="微软雅黑"/>
          <w:sz w:val="20"/>
        </w:rPr>
        <w:t xml:space="preserve">【1】《组织诊断》（法制出版社，2021）</w:t>
      </w:r>
    </w:p>
    <w:p>
      <w:pPr>
        <w:rPr/>
      </w:pPr>
      <w:r>
        <w:rPr>
          <w:rFonts w:ascii="微软雅黑" w:eastAsia="微软雅黑" w:hAnsi="微软雅黑" w:cs="微软雅黑"/>
          <w:sz w:val="20"/>
        </w:rPr>
        <w:t xml:space="preserve">【2】《降本增效3板斧7要务》（中国铁道出版社，2022）</w:t>
      </w:r>
    </w:p>
    <w:p>
      <w:pPr>
        <w:rPr/>
      </w:pPr>
      <w:r>
        <w:rPr>
          <w:rFonts w:ascii="微软雅黑" w:eastAsia="微软雅黑" w:hAnsi="微软雅黑" w:cs="微软雅黑"/>
          <w:sz w:val="20"/>
        </w:rPr>
        <w:t xml:space="preserve">【3】《改写人力资源管理——组织发展七项全能》（法制出版社，2019）</w:t>
      </w:r>
    </w:p>
    <w:p>
      <w:pPr>
        <w:rPr/>
      </w:pPr>
      <w:r>
        <w:rPr>
          <w:rFonts w:ascii="微软雅黑" w:eastAsia="微软雅黑" w:hAnsi="微软雅黑" w:cs="微软雅黑"/>
          <w:sz w:val="20"/>
        </w:rPr>
        <w:t xml:space="preserve">【4】《组织发展核能》（法制出版社，2019）</w:t>
      </w:r>
    </w:p>
    <w:p>
      <w:pPr>
        <w:rPr/>
      </w:pPr>
      <w:r>
        <w:rPr>
          <w:rFonts w:ascii="微软雅黑" w:eastAsia="微软雅黑" w:hAnsi="微软雅黑" w:cs="微软雅黑"/>
          <w:sz w:val="20"/>
        </w:rPr>
        <w:t xml:space="preserve">【5】《组织赋能——OD实践者全流程顾问》（法制出版社，2019）</w:t>
      </w:r>
    </w:p>
    <w:p>
      <w:pPr>
        <w:rPr/>
      </w:pPr>
      <w:r>
        <w:rPr>
          <w:rFonts w:ascii="微软雅黑" w:eastAsia="微软雅黑" w:hAnsi="微软雅黑" w:cs="微软雅黑"/>
          <w:sz w:val="20"/>
        </w:rPr>
        <w:t xml:space="preserve">【6】《全面薪酬体系设计新实战》（人民邮电出版社，2021）</w:t>
      </w:r>
    </w:p>
    <w:p>
      <w:pPr>
        <w:rPr/>
      </w:pPr>
      <w:r>
        <w:rPr>
          <w:rFonts w:ascii="微软雅黑" w:eastAsia="微软雅黑" w:hAnsi="微软雅黑" w:cs="微软雅黑"/>
          <w:sz w:val="20"/>
        </w:rPr>
        <w:t xml:space="preserve">【7】《人力资源管理全程实操指南》（法制出版社，2019）</w:t>
      </w:r>
    </w:p>
    <w:p>
      <w:pPr>
        <w:rPr/>
      </w:pPr>
      <w:r>
        <w:rPr>
          <w:rFonts w:ascii="微软雅黑" w:eastAsia="微软雅黑" w:hAnsi="微软雅黑" w:cs="微软雅黑"/>
          <w:sz w:val="20"/>
        </w:rPr>
        <w:t xml:space="preserve">【8】《培训管理全流程实战方案》（法制出版社，2019）</w:t>
      </w:r>
    </w:p>
    <w:p>
      <w:pPr>
        <w:rPr/>
      </w:pPr>
      <w:r>
        <w:rPr>
          <w:rFonts w:ascii="微软雅黑" w:eastAsia="微软雅黑" w:hAnsi="微软雅黑" w:cs="微软雅黑"/>
          <w:sz w:val="20"/>
        </w:rPr>
        <w:t xml:space="preserve">【9】《招聘管理全流程实战方案》（法制出版社，2019）</w:t>
      </w:r>
    </w:p>
    <w:p>
      <w:pPr>
        <w:rPr/>
      </w:pPr>
      <w:r>
        <w:rPr>
          <w:rFonts w:ascii="微软雅黑" w:eastAsia="微软雅黑" w:hAnsi="微软雅黑" w:cs="微软雅黑"/>
          <w:sz w:val="20"/>
        </w:rPr>
        <w:t xml:space="preserve">【10】《薪酬管理全流程实战方案》（法制出版社，2019）</w:t>
      </w:r>
    </w:p>
    <w:p>
      <w:pPr>
        <w:rPr/>
      </w:pPr>
      <w:r>
        <w:rPr>
          <w:rFonts w:ascii="微软雅黑" w:eastAsia="微软雅黑" w:hAnsi="微软雅黑" w:cs="微软雅黑"/>
          <w:sz w:val="20"/>
        </w:rPr>
        <w:t xml:space="preserve">【11】《绩效管理全流程实战方案》（法制出版社，2019）</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服务企业：</w:t>
      </w:r>
    </w:p>
    <w:p>
      <w:pPr>
        <w:rPr/>
      </w:pPr>
      <w:r>
        <w:rPr>
          <w:rFonts w:ascii="微软雅黑" w:eastAsia="微软雅黑" w:hAnsi="微软雅黑" w:cs="微软雅黑"/>
          <w:sz w:val="20"/>
        </w:rPr>
        <w:t xml:space="preserve">阿里、百度、滴滴、美团、华为、小米、OPPO、网易、科大讯飞、猪八戒、学而思、广联达、宜信、哔哩哔哩、贝壳租房、中都物流、36Kr、Disney、诺亚财富、中国智能交通、瑞穗银行（中国）、碧桂园、宝能、东风汽车、威马汽车、广汽蔚来、上汽大众、雷霆游戏、网龙、华润制药、易果生鲜、好太太、广州建筑、中航国际、京东、中南置地、二更网络、厦门路桥、如涵文化、畅读科技、沃尔玛、美联英语、链家、吉利、英语流利说、世纪互联、中融信托、尚德机构、中信书店、汉能、Softbank（中国）、360金融、趣头条、Westpac banking corporate（中国）、招银云创、Paypal、商汤科技……等。</w:t>
      </w:r>
    </w:p>
    <w:p>
      <w:pPr>
        <w:rPr/>
      </w:pPr>
    </w:p>
    <w:p>
      <w:pPr/>
    </w:p>
    <w:sectPr>
      <w:headerReference w:type="default" r:id="rId11"/>
      <w:headerReference w:type="first" r:id="rId12"/>
      <w:type w:val="continuous"/>
      <w:pgSz w:w="11906" w:h="16838" w:orient="portrait"/>
      <w:pgMar w:top="1440" w:right="1080" w:bottom="1440" w:left="1080" w:header="851" w:footer="992" w:gutter="0"/>
      <w:pgNumType w:start="0"/>
      <w:cols w:num="1" w:space="425">
        <w:col w:w="9746" w:space="425"/>
      </w:cols>
      <w:titlePg/>
      <w:docGrid w:type="lines" w:linePitch="312"/>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Courier New">
    <w:panose1 w:val="02070309020205020404"/>
    <w:charset w:val="01"/>
    <w:family w:val="Auto"/>
    <w:pitch w:val="default"/>
    <w:sig w:usb0="E0002EFF" w:usb1="C0007843" w:usb2="00000009" w:usb3="00000000" w:csb0="400001FF" w:csb1="FFFF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Auto"/>
    <w:pitch w:val="variable"/>
    <w:sig w:usb0="E0002EFF" w:usb1="C000785B" w:usb2="00000009" w:usb3="00000000" w:csb0="000001FF" w:csb1="00000000"/>
  </w:font>
  <w:font w:name="微软雅黑">
    <w:panose1 w:val="020B0503020204020204"/>
    <w:charset w:val="86"/>
    <w:family w:val="Auto"/>
    <w:pitch w:val="variable"/>
    <w:sig w:usb0="80000287" w:usb1="2ACF3C50" w:usb2="00000016" w:usb3="00000000" w:csb0="0004001F" w:csb1="00000000"/>
  </w:font>
  <w:font w:name="楷体">
    <w:panose1 w:val="02010609060101010101"/>
    <w:charset w:val="86"/>
    <w:family w:val="Auto"/>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Bdr>
        <w:bottom w:val="single" w:sz="6" w:space="8" w:color="D9D9D9" w:themeColor="background1" w:themeShade="D9"/>
      </w:pBdr>
      <w:rPr>
        <w:rFonts w:hint="eastAsia"/>
      </w:rPr>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Bdr>
        <w:bottom w:val="none" w:sz="0" w:space="0" w:color="auto"/>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3">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4">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5">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xmlns:w15="http://schemas.microsoft.com/office/word/2012/wordml" mc:Ignorable="w14 w15">
  <w:zoom w:percent="100"/>
  <w:bordersDoNotSurroundFooter/>
  <w:bordersDoNotSurroundHeader/>
  <w:proofState w:spelling="clean" w:grammar="clean"/>
  <w:doNotTrackMoves/>
  <w:documentProtection w:edit="trackedChanges" w:enforcement="0"/>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w:docVars>
    <w:docVar w:name="commondata" w:val="eyJoZGlkIjoiYzhmYjcxMDVjNTU5Y2FhZTRlYjE1Y2IxMzE4ZWZiMmMifQ=="/>
  </w:docVars>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ascii="等线" w:eastAsia="等线" w:hAnsi="等线" w:asciiTheme="minorHAnsi" w:eastAsiaTheme="minorEastAsia" w:hAnsiTheme="minorHAnsi" w:cs="Arial" w:cstheme="minorBidi"/>
      <w:kern w:val="2"/>
      <w:sz w:val="21"/>
      <w:szCs w:val="22"/>
    </w:rPr>
  </w:style>
  <w:style w:type="paragraph" w:styleId="Heading3">
    <w:name w:val="Heading 3"/>
    <w:basedOn w:val="Normal"/>
    <w:next w:val="Normal"/>
    <w:qFormat/>
    <w:pPr>
      <w:keepNext/>
      <w:widowControl/>
      <w:spacing w:before="240" w:after="60"/>
      <w:jc w:val="left"/>
      <w:outlineLvl w:val="2"/>
    </w:pPr>
    <w:rPr>
      <w:rFonts w:ascii="Arial" w:hAnsi="Arial"/>
      <w:b/>
      <w:bCs/>
      <w:kern w:val="0"/>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styleId="Footer">
    <w:name w:val="Footer"/>
    <w:basedOn w:val="Normal"/>
    <w:uiPriority w:val="99"/>
    <w:unhideWhenUsed/>
    <w:qFormat/>
    <w:pPr>
      <w:tabs>
        <w:tab w:val="center" w:pos="4153"/>
        <w:tab w:val="right" w:pos="8306"/>
      </w:tabs>
      <w:snapToGrid w:val="0"/>
      <w:jc w:val="left"/>
    </w:pPr>
    <w:rPr>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qForm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页眉字符">
    <w:name w:val="页眉 字符"/>
    <w:basedOn w:val="DefaultParagraphFont"/>
    <w:uiPriority w:val="99"/>
    <w:qFormat/>
    <w:rPr>
      <w:sz w:val="18"/>
      <w:szCs w:val="18"/>
    </w:rPr>
  </w:style>
  <w:style w:type="character" w:customStyle="1" w:styleId="页脚字符">
    <w:name w:val="页脚 字符"/>
    <w:basedOn w:val="DefaultParagraphFont"/>
    <w:uiPriority w:val="99"/>
    <w:qFormat/>
    <w:rPr>
      <w:sz w:val="18"/>
      <w:szCs w:val="18"/>
    </w:rPr>
  </w:style>
  <w:style w:type="table" w:customStyle="1" w:styleId="无格式表格11">
    <w:name w:val="无格式表格 11"/>
    <w:basedOn w:val="TableNormal"/>
    <w:uiPriority w:val="41"/>
    <w:qFormat/>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cPr>
        <w:tcBorders>
          <w:top w:val="double" w:sz="4" w:space="0" w:color="BFBFBF" w:themeColor="background1" w:themeShade="BF"/>
        </w:tcBorders>
      </w:tcPr>
    </w:tblStylePr>
    <w:tblStylePr w:type="firstCol">
      <w:rPr>
        <w:b/>
        <w:bCs/>
      </w:rPr>
    </w:tblStylePr>
    <w:tblStylePr w:type="lastCol">
      <w:rPr>
        <w:b/>
        <w:bCs/>
      </w:rPr>
    </w:tblStylePr>
    <w:tblStylePr w:type="band1Vert">
      <w:rPr/>
      <w:tcPr>
        <w:shd w:val="clear" w:color="auto" w:fill="F2F2F2"/>
      </w:tcPr>
    </w:tblStylePr>
    <w:tblStylePr w:type="band1Horz">
      <w:rPr/>
      <w:tcPr>
        <w:shd w:val="clear" w:color="auto" w:fill="F2F2F2"/>
      </w:tcPr>
    </w:tblStylePr>
  </w:style>
  <w:style w:type="paragraph" w:styleId="ListParagraph">
    <w:name w:val="List Paragraph"/>
    <w:basedOn w:val="Normal"/>
    <w:uiPriority w:val="34"/>
    <w:qFormat/>
    <w:pPr>
      <w:ind w:firstLine="420" w:firstLineChars="200"/>
    </w:pPr>
    <w:rPr/>
  </w:style>
  <w:style w:type="paragraph" w:customStyle="1" w:styleId="列出段落1">
    <w:name w:val="列出段落1"/>
    <w:basedOn w:val="Normal"/>
    <w:uiPriority w:val="99"/>
    <w:qFormat/>
    <w:pPr>
      <w:ind w:firstLine="420" w:firstLineChars="200"/>
    </w:pPr>
    <w:rPr/>
  </w:style>
  <w:style w:type="paragraph" w:customStyle="1" w:styleId="p0">
    <w:name w:val="p0"/>
    <w:basedOn w:val="Normal"/>
    <w:uiPriority w:val="99"/>
    <w:qFormat/>
    <w:pPr>
      <w:widowControl/>
    </w:pPr>
    <w:rPr>
      <w:rFonts w:ascii="Times New Roman" w:hAnsi="Times New Roman"/>
      <w:kern w:val="0"/>
      <w:szCs w:val="21"/>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customXml" Target="../customXml/item10.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theme" Target="theme/theme1.xml" /><Relationship Id="rId14" Type="http://schemas.openxmlformats.org/officeDocument/2006/relationships/styles" Target="styles.xml" /><Relationship Id="rId15" Type="http://schemas.openxmlformats.org/officeDocument/2006/relationships/webSettings" Target="webSettings.xml" /><Relationship Id="rId16" Type="http://schemas.openxmlformats.org/officeDocument/2006/relationships/numbering" Target="numbering.xml" /><Relationship Id="rId17" Type="http://schemas.openxmlformats.org/officeDocument/2006/relationships/fontTable" Target="fontTable.xml" /><Relationship Id="rId18"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customXml" Target="../customXml/item6.xml" /><Relationship Id="rId7" Type="http://schemas.openxmlformats.org/officeDocument/2006/relationships/customXml" Target="../customXml/item7.xml" /><Relationship Id="rId8" Type="http://schemas.openxmlformats.org/officeDocument/2006/relationships/customXml" Target="../customXml/item8.xml" /><Relationship Id="rId9" Type="http://schemas.openxmlformats.org/officeDocument/2006/relationships/customXml" Target="../customXml/item9.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_rels/item6.xml.rels>&#65279;<?xml version="1.0" encoding="utf-8"?><Relationships xmlns="http://schemas.openxmlformats.org/package/2006/relationships"><Relationship Id="rId1" Type="http://schemas.openxmlformats.org/officeDocument/2006/relationships/customXmlProps" Target="itemProps6.xml" /></Relationships>
</file>

<file path=customXml/_rels/item7.xml.rels>&#65279;<?xml version="1.0" encoding="utf-8"?><Relationships xmlns="http://schemas.openxmlformats.org/package/2006/relationships"><Relationship Id="rId1" Type="http://schemas.openxmlformats.org/officeDocument/2006/relationships/customXmlProps" Target="itemProps7.xml" /></Relationships>
</file>

<file path=customXml/_rels/item8.xml.rels>&#65279;<?xml version="1.0" encoding="utf-8"?><Relationships xmlns="http://schemas.openxmlformats.org/package/2006/relationships"><Relationship Id="rId1" Type="http://schemas.openxmlformats.org/officeDocument/2006/relationships/customXmlProps" Target="itemProps8.xml" /></Relationships>
</file>

<file path=customXml/_rels/item9.xml.rels>&#65279;<?xml version="1.0" encoding="utf-8"?><Relationships xmlns="http://schemas.openxmlformats.org/package/2006/relationships"><Relationship Id="rId1" Type="http://schemas.openxmlformats.org/officeDocument/2006/relationships/customXmlProps" Target="itemProps9.xml" /></Relationships>
</file>

<file path=customXml/_rels/item10.xml.rels>&#65279;<?xml version="1.0" encoding="utf-8"?><Relationships xmlns="http://schemas.openxmlformats.org/package/2006/relationships"><Relationship Id="rId1" Type="http://schemas.openxmlformats.org/officeDocument/2006/relationships/customXmlProps" Target="itemProps10.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284</cp:revision>
  <dcterms:created xsi:type="dcterms:W3CDTF">2021-12-30T11:55:00Z</dcterms:created>
  <dcterms:modified xsi:type="dcterms:W3CDTF">2025-02-19T10:08:00Z</dcterms:modified>
</cp:coreProperties>
</file>

<file path=customXml/item2.xml><?xml version="1.0" encoding="utf-8"?>
<Properties xmlns="http://schemas.openxmlformats.org/officeDocument/2006/extended-properties" xmlns:vt="http://schemas.openxmlformats.org/officeDocument/2006/docPropsVTypes">
  <Template>Normal.dotm</Template>
  <TotalTime>37</TotalTime>
  <Pages>1</Pages>
  <Words>28</Words>
  <Characters>165</Characters>
  <Application>Microsoft Office Word</Application>
  <DocSecurity>0</DocSecurity>
  <Lines>1</Lines>
  <Paragraphs>1</Paragraphs>
  <ScaleCrop>false</ScaleCrop>
  <Company/>
  <LinksUpToDate>false</LinksUpToDate>
  <CharactersWithSpaces>192</CharactersWithSpaces>
  <SharedDoc>false</SharedDoc>
  <HyperlinksChanged>false</HyperlinksChanged>
  <AppVersion>16.0000</AppVersion>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Shen Penny</cp:lastModifiedBy>
  <cp:revision>229</cp:revision>
  <dcterms:created xsi:type="dcterms:W3CDTF">2021-12-30T11:55:00Z</dcterms:created>
  <dcterms:modified xsi:type="dcterms:W3CDTF">2023-01-13T01:40:00Z</dcterms:modified>
</cp:core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269</cp:revision>
  <dcterms:created xsi:type="dcterms:W3CDTF">2021-12-30T11:55:00Z</dcterms:created>
  <dcterms:modified xsi:type="dcterms:W3CDTF">2024-11-27T13:20:00Z</dcterms:modified>
</cp:core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8.xml><?xml version="1.0" encoding="utf-8"?>
<Properties xmlns="http://schemas.openxmlformats.org/officeDocument/2006/extended-properties" xmlns:vt="http://schemas.openxmlformats.org/officeDocument/2006/docPropsVTypes">
  <Template>Normal.dotm</Template>
  <TotalTime>28</TotalTime>
  <Pages>1</Pages>
  <Words>22</Words>
  <Characters>127</Characters>
  <Application>Microsoft Office Word</Application>
  <DocSecurity>0</DocSecurity>
  <Lines>1</Lines>
  <Paragraphs>1</Paragraphs>
  <ScaleCrop>false</ScaleCrop>
  <Company/>
  <LinksUpToDate>false</LinksUpToDate>
  <CharactersWithSpaces>148</CharactersWithSpaces>
  <SharedDoc>false</SharedDoc>
  <HyperlinksChanged>false</HyperlinksChanged>
  <AppVersion>16.0000</AppVersion>
</Properties>
</file>

<file path=customXml/item9.xml><?xml version="1.0" encoding="utf-8"?>
<Properties xmlns="http://schemas.openxmlformats.org/officeDocument/2006/extended-properties" xmlns:vt="http://schemas.openxmlformats.org/officeDocument/2006/docPropsVTypes">
  <Template>Normal.dotm</Template>
  <TotalTime>0</TotalTime>
  <Pages>1</Pages>
  <Words>12</Words>
  <Characters>69</Characters>
  <Application>Microsoft Office Word</Application>
  <DocSecurity>0</DocSecurity>
  <Lines>1</Lines>
  <Paragraphs>1</Paragraphs>
  <ScaleCrop>false</ScaleCrop>
  <Company/>
  <LinksUpToDate>false</LinksUpToDate>
  <CharactersWithSpaces>80</CharactersWithSpaces>
  <SharedDoc>false</SharedDoc>
  <HyperlinksChanged>false</HyperlinksChanged>
  <AppVersion>16.0000</AppVersion>
</Properties>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81354220-907C-4313-A0E9-24F4045478FC}">
  <ds:schemaRefs>
    <ds:schemaRef ds:uri="http://schemas.openxmlformats.org/package/2006/metadata/core-properties"/>
    <ds:schemaRef ds:uri="http://purl.org/dc/elements/1.1/"/>
    <ds:schemaRef ds:uri="http://purl.org/dc/terms/"/>
    <ds:schemaRef ds:uri="http://purl.org/dc/dcmitype/"/>
  </ds:schemaRefs>
</ds:datastoreItem>
</file>

<file path=customXml/itemProps5.xml><?xml version="1.0" encoding="utf-8"?>
<ds:datastoreItem xmlns:ds="http://schemas.openxmlformats.org/officeDocument/2006/customXml" ds:itemID="{6A0CF8BC-B040-4141-B3C5-61F357F7E097}">
  <ds:schemaRefs>
    <ds:schemaRef ds:uri="http://schemas.openxmlformats.org/package/2006/metadata/core-properties"/>
    <ds:schemaRef ds:uri="http://purl.org/dc/elements/1.1/"/>
    <ds:schemaRef ds:uri="http://purl.org/dc/terms/"/>
    <ds:schemaRef ds:uri="http://purl.org/dc/dcmitype/"/>
  </ds:schemaRefs>
</ds:datastoreItem>
</file>

<file path=customXml/itemProps6.xml><?xml version="1.0" encoding="utf-8"?>
<ds:datastoreItem xmlns:ds="http://schemas.openxmlformats.org/officeDocument/2006/customXml" ds:itemID="{4943E5E0-F2EA-4BA1-BC14-B3A66A82A148}">
  <ds:schemaRefs>
    <ds:schemaRef ds:uri="http://schemas.openxmlformats.org/officeDocument/2006/bibliography"/>
  </ds:schemaRefs>
</ds:datastoreItem>
</file>

<file path=customXml/itemProps7.xml><?xml version="1.0" encoding="utf-8"?>
<ds:datastoreItem xmlns:ds="http://schemas.openxmlformats.org/officeDocument/2006/customXml" ds:itemID="{EAD93815-8B47-4B90-B4B3-B77D396BA7B2}">
  <ds:schemaRefs>
    <ds:schemaRef ds:uri="http://schemas.openxmlformats.org/officeDocument/2006/custom-properties"/>
    <ds:schemaRef ds:uri="http://schemas.openxmlformats.org/officeDocument/2006/docPropsVTypes"/>
  </ds:schemaRefs>
</ds:datastoreItem>
</file>

<file path=customXml/itemProps8.xml><?xml version="1.0" encoding="utf-8"?>
<ds:datastoreItem xmlns:ds="http://schemas.openxmlformats.org/officeDocument/2006/customXml" ds:itemID="{AF36978F-44F0-496E-AF0A-968223BEBEC4}">
  <ds:schemaRefs>
    <ds:schemaRef ds:uri="http://schemas.openxmlformats.org/officeDocument/2006/extended-properties"/>
    <ds:schemaRef ds:uri="http://schemas.openxmlformats.org/officeDocument/2006/docPropsVTypes"/>
  </ds:schemaRefs>
</ds:datastoreItem>
</file>

<file path=customXml/itemProps9.xml><?xml version="1.0" encoding="utf-8"?>
<ds:datastoreItem xmlns:ds="http://schemas.openxmlformats.org/officeDocument/2006/customXml" ds:itemID="{1295FFCC-A8D6-4252-8D73-C0605AF162FC}">
  <ds:schemaRefs>
    <ds:schemaRef ds:uri="http://schemas.openxmlformats.org/officeDocument/2006/extended-properties"/>
    <ds:schemaRef ds:uri="http://schemas.openxmlformats.org/officeDocument/2006/docPropsVTypes"/>
  </ds:schemaRefs>
</ds:datastoreItem>
</file>

<file path=customXml/itemProps10.xml><?xml version="1.0" encoding="utf-8"?>
<ds:datastoreItem xmlns:ds="http://schemas.openxmlformats.org/officeDocument/2006/customXml" ds:itemID="{CF406861-903F-4DDF-BAA1-4332C6B19B7F}">
  <ds:schemaRefs>
    <ds:schemaRef ds:uri="http://schemas.openxmlformats.org/officeDocument/2006/custom-properties"/>
    <ds:schemaRef ds:uri="http://schemas.openxmlformats.org/officeDocument/2006/docPropsVTypes"/>
  </ds:schemaRefs>
</ds:datastoreItem>
</file>

<file path=docProps/app.xml><?xml version="1.0" encoding="utf-8"?>
<Properties xmlns:vt="http://schemas.openxmlformats.org/officeDocument/2006/docPropsVTypes" xmlns="http://schemas.openxmlformats.org/officeDocument/2006/extended-properties">
  <Template>Normal.dotm</Template>
  <TotalTime>37</TotalTime>
  <Pages>1</Pages>
  <Words>28</Words>
  <Characters>165</Characters>
  <Application>Microsoft Office Word</Application>
  <DocSecurity>0</DocSecurity>
  <Lines>1</Lines>
  <Paragraphs>1</Paragraphs>
  <CharactersWithSpaces>192</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284</cp:revision>
  <dcterms:created xsi:type="dcterms:W3CDTF">2021-12-30T11:55:00Z</dcterms:created>
  <dcterms:modified xsi:type="dcterms:W3CDTF">2025-02-19T10:08:00Z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2052-11.1.0.12358</vt:lpstr>
  </property>
  <property fmtid="{D5CDD505-2E9C-101B-9397-08002B2CF9AE}" pid="3" name="ICV">
    <vt:lpstr>E1FDD09F4F6D45E0A9385DA46B82129B</vt:lpstr>
  </property>
</Properties>
</file>